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8"/>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神木市烟草制品零售点合理布局规定</w:t>
      </w:r>
    </w:p>
    <w:p>
      <w:pPr>
        <w:ind w:firstLine="648"/>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(草 案)</w:t>
      </w:r>
    </w:p>
    <w:p>
      <w:pPr>
        <w:ind w:firstLine="648"/>
        <w:jc w:val="center"/>
        <w:rPr>
          <w:rFonts w:asciiTheme="majorEastAsia" w:hAnsiTheme="majorEastAsia" w:eastAsiaTheme="majorEastAsia"/>
        </w:rPr>
      </w:pPr>
      <w:r>
        <w:rPr>
          <w:rFonts w:hint="eastAsia" w:asciiTheme="majorEastAsia" w:hAnsiTheme="majorEastAsia" w:eastAsiaTheme="majorEastAsia"/>
        </w:rPr>
        <w:t>第一章  总则</w:t>
      </w:r>
    </w:p>
    <w:p>
      <w:pPr>
        <w:spacing w:before="156" w:beforeLines="50" w:line="560" w:lineRule="exact"/>
        <w:ind w:firstLine="640" w:firstLineChars="200"/>
        <w:rPr>
          <w:rFonts w:ascii="仿宋" w:hAnsi="仿宋" w:eastAsia="仿宋"/>
        </w:rPr>
      </w:pPr>
      <w:r>
        <w:rPr>
          <w:rFonts w:hint="eastAsia" w:ascii="仿宋" w:hAnsi="仿宋" w:eastAsia="仿宋"/>
        </w:rPr>
        <w:t>第一条 为维护国家烟草专卖制度，规范烟草制品市场经营秩序，加强烟草专卖零售许可管理，进一步维护国家利益和消费者的合法权益，依据《中华人民共和国行政许可法》《中华人民共和国未成年人保护法》《中华人民共和国烟草专卖法》《中华人民共和国烟草专卖法实施条例》《烟草专卖许可证管理办法》和《烟草专卖许可证管理办法实施细则》等相关法律法规规章及规范性文件规定，结合神木市实际，制定本规定。</w:t>
      </w:r>
    </w:p>
    <w:p>
      <w:pPr>
        <w:ind w:firstLine="648"/>
        <w:rPr>
          <w:rFonts w:ascii="仿宋" w:hAnsi="仿宋" w:eastAsia="仿宋"/>
        </w:rPr>
      </w:pPr>
      <w:r>
        <w:rPr>
          <w:rFonts w:hint="eastAsia" w:ascii="仿宋" w:hAnsi="仿宋" w:eastAsia="仿宋"/>
        </w:rPr>
        <w:t>第二条 本规定适用于神木市行政区域范围(不含大柳塔镇、中鸡镇、孙家岔镇)的烟草制品零售点的设置。</w:t>
      </w:r>
    </w:p>
    <w:p>
      <w:pPr>
        <w:ind w:firstLine="648"/>
        <w:rPr>
          <w:rFonts w:ascii="仿宋" w:hAnsi="仿宋" w:eastAsia="仿宋"/>
        </w:rPr>
      </w:pPr>
      <w:r>
        <w:rPr>
          <w:rFonts w:hint="eastAsia" w:ascii="仿宋" w:hAnsi="仿宋" w:eastAsia="仿宋"/>
        </w:rPr>
        <w:t>第三条 本规定所称烟草制品零售点（以下简称零售点）是指公民、法人及其他组织依法取得烟草专卖零售许可证，从事烟草制品零售业务的经营场所。</w:t>
      </w:r>
    </w:p>
    <w:p>
      <w:pPr>
        <w:ind w:firstLine="648"/>
        <w:rPr>
          <w:rFonts w:ascii="仿宋" w:hAnsi="仿宋" w:eastAsia="仿宋"/>
        </w:rPr>
      </w:pPr>
      <w:r>
        <w:rPr>
          <w:rFonts w:hint="eastAsia" w:ascii="仿宋" w:hAnsi="仿宋" w:eastAsia="仿宋"/>
        </w:rPr>
        <w:t>第四条 本规定所称的合理布局是指遵循依法行政、科学规划、服务社会、均衡发展的基本原则，综合辖区内人口数量、交通状况、经济发展水平、消费能力等因素，按最小市场单元设置烟草制品零售点。</w:t>
      </w:r>
    </w:p>
    <w:p>
      <w:pPr>
        <w:ind w:firstLine="648"/>
        <w:rPr>
          <w:rFonts w:ascii="仿宋" w:hAnsi="仿宋" w:eastAsia="仿宋"/>
        </w:rPr>
      </w:pPr>
      <w:r>
        <w:rPr>
          <w:rFonts w:hint="eastAsia" w:ascii="仿宋" w:hAnsi="仿宋" w:eastAsia="仿宋"/>
        </w:rPr>
        <w:t>第五条 烟草制品零售点合理布局实行动态管理、定期评价，动态调整最小市场单元内零售点数量，经法定程序发布后实施，新标准发布实施后旧标准自动废止。</w:t>
      </w:r>
    </w:p>
    <w:p>
      <w:pPr>
        <w:ind w:firstLine="160" w:firstLineChars="50"/>
        <w:jc w:val="center"/>
        <w:rPr>
          <w:rFonts w:asciiTheme="majorEastAsia" w:hAnsiTheme="majorEastAsia" w:eastAsiaTheme="majorEastAsia"/>
        </w:rPr>
      </w:pPr>
      <w:r>
        <w:rPr>
          <w:rFonts w:hint="eastAsia" w:asciiTheme="majorEastAsia" w:hAnsiTheme="majorEastAsia" w:eastAsiaTheme="majorEastAsia"/>
        </w:rPr>
        <w:t>第二章 烟草专卖零售许可证申办条件</w:t>
      </w:r>
    </w:p>
    <w:p>
      <w:pPr>
        <w:ind w:firstLine="640" w:firstLineChars="200"/>
        <w:jc w:val="center"/>
        <w:rPr>
          <w:rFonts w:ascii="黑体" w:hAnsi="黑体" w:eastAsia="黑体"/>
        </w:rPr>
      </w:pPr>
      <w:r>
        <w:rPr>
          <w:rFonts w:hint="eastAsia" w:ascii="仿宋" w:hAnsi="仿宋" w:eastAsia="仿宋"/>
        </w:rPr>
        <w:t>第六条 取得烟草专卖零售许可证，应当具备下列条件：</w:t>
      </w:r>
    </w:p>
    <w:p>
      <w:pPr>
        <w:ind w:firstLine="640" w:firstLineChars="200"/>
        <w:rPr>
          <w:rFonts w:ascii="黑体" w:hAnsi="黑体" w:eastAsia="黑体"/>
        </w:rPr>
      </w:pPr>
      <w:r>
        <w:rPr>
          <w:rFonts w:hint="eastAsia" w:ascii="仿宋" w:hAnsi="仿宋" w:eastAsia="仿宋"/>
        </w:rPr>
        <w:t xml:space="preserve">(一)有与经营烟草制品零售业务相适应的资金;   </w:t>
      </w:r>
    </w:p>
    <w:p>
      <w:pPr>
        <w:ind w:firstLine="648"/>
        <w:rPr>
          <w:rFonts w:ascii="仿宋" w:hAnsi="仿宋" w:eastAsia="仿宋"/>
        </w:rPr>
      </w:pPr>
      <w:r>
        <w:rPr>
          <w:rFonts w:hint="eastAsia" w:ascii="仿宋" w:hAnsi="仿宋" w:eastAsia="仿宋"/>
        </w:rPr>
        <w:t>(二)有与住所相独立的固定经营场所;</w:t>
      </w:r>
    </w:p>
    <w:p>
      <w:pPr>
        <w:ind w:firstLine="648"/>
        <w:rPr>
          <w:rFonts w:ascii="仿宋" w:hAnsi="仿宋" w:eastAsia="仿宋"/>
        </w:rPr>
      </w:pPr>
      <w:r>
        <w:rPr>
          <w:rFonts w:hint="eastAsia" w:ascii="仿宋" w:hAnsi="仿宋" w:eastAsia="仿宋"/>
        </w:rPr>
        <w:t xml:space="preserve">(三)符合本规定中零售点布局的要求;  </w:t>
      </w:r>
    </w:p>
    <w:p>
      <w:pPr>
        <w:ind w:firstLine="648"/>
        <w:rPr>
          <w:rFonts w:ascii="仿宋" w:hAnsi="仿宋" w:eastAsia="仿宋"/>
        </w:rPr>
      </w:pPr>
      <w:r>
        <w:rPr>
          <w:rFonts w:hint="eastAsia" w:ascii="仿宋" w:hAnsi="仿宋" w:eastAsia="仿宋"/>
        </w:rPr>
        <w:t>(</w:t>
      </w:r>
      <w:r>
        <w:rPr>
          <w:rFonts w:hint="eastAsia" w:ascii="仿宋" w:hAnsi="仿宋" w:eastAsia="仿宋"/>
          <w:lang w:val="en-US" w:eastAsia="zh-CN"/>
        </w:rPr>
        <w:t>四</w:t>
      </w:r>
      <w:r>
        <w:rPr>
          <w:rFonts w:hint="eastAsia" w:ascii="仿宋" w:hAnsi="仿宋" w:eastAsia="仿宋"/>
        </w:rPr>
        <w:t>)国家烟草专卖局规定的其他条件。</w:t>
      </w:r>
    </w:p>
    <w:p>
      <w:pPr>
        <w:ind w:firstLine="648"/>
        <w:rPr>
          <w:rFonts w:ascii="仿宋" w:hAnsi="仿宋" w:eastAsia="仿宋"/>
        </w:rPr>
      </w:pPr>
      <w:r>
        <w:rPr>
          <w:rFonts w:hint="eastAsia" w:ascii="仿宋" w:hAnsi="仿宋" w:eastAsia="仿宋"/>
        </w:rPr>
        <w:t>第七条 申请新办烟草专卖零售许可证应提交的材料</w:t>
      </w:r>
    </w:p>
    <w:p>
      <w:pPr>
        <w:ind w:firstLine="648"/>
        <w:rPr>
          <w:rFonts w:ascii="仿宋" w:hAnsi="仿宋" w:eastAsia="仿宋"/>
        </w:rPr>
      </w:pPr>
      <w:r>
        <w:rPr>
          <w:rFonts w:hint="eastAsia" w:ascii="仿宋" w:hAnsi="仿宋" w:eastAsia="仿宋"/>
        </w:rPr>
        <w:t>(一)申请表；</w:t>
      </w:r>
    </w:p>
    <w:p>
      <w:pPr>
        <w:ind w:firstLine="648"/>
        <w:rPr>
          <w:rFonts w:ascii="仿宋" w:hAnsi="仿宋" w:eastAsia="仿宋"/>
        </w:rPr>
      </w:pPr>
      <w:r>
        <w:rPr>
          <w:rFonts w:hint="eastAsia" w:ascii="仿宋" w:hAnsi="仿宋" w:eastAsia="仿宋"/>
        </w:rPr>
        <w:t>(二)营业执照；</w:t>
      </w:r>
    </w:p>
    <w:p>
      <w:pPr>
        <w:ind w:firstLine="648"/>
        <w:rPr>
          <w:rFonts w:ascii="仿宋" w:hAnsi="仿宋" w:eastAsia="仿宋"/>
        </w:rPr>
      </w:pPr>
      <w:r>
        <w:rPr>
          <w:rFonts w:hint="eastAsia" w:ascii="仿宋" w:hAnsi="仿宋" w:eastAsia="仿宋"/>
        </w:rPr>
        <w:t>(三)个体商户经营者、法定代表人或企业负责人的身份证明。</w:t>
      </w:r>
    </w:p>
    <w:p>
      <w:pPr>
        <w:adjustRightInd w:val="0"/>
        <w:snapToGrid w:val="0"/>
        <w:spacing w:line="600" w:lineRule="exact"/>
        <w:jc w:val="center"/>
        <w:rPr>
          <w:rFonts w:asciiTheme="majorEastAsia" w:hAnsiTheme="majorEastAsia" w:eastAsiaTheme="majorEastAsia"/>
        </w:rPr>
      </w:pPr>
      <w:r>
        <w:rPr>
          <w:rFonts w:hint="eastAsia" w:asciiTheme="majorEastAsia" w:hAnsiTheme="majorEastAsia" w:eastAsiaTheme="majorEastAsia"/>
        </w:rPr>
        <w:t>第三章 零售点布局标准</w:t>
      </w:r>
    </w:p>
    <w:p>
      <w:pPr>
        <w:spacing w:line="560" w:lineRule="exact"/>
        <w:ind w:firstLine="64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第八条 零售点布局规定应当遵循以下标准</w:t>
      </w:r>
    </w:p>
    <w:p>
      <w:pPr>
        <w:spacing w:line="560" w:lineRule="exact"/>
        <w:ind w:firstLine="64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(一)</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区域划分</w:t>
      </w:r>
    </w:p>
    <w:p>
      <w:pPr>
        <w:spacing w:line="560" w:lineRule="exact"/>
        <w:ind w:firstLine="64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根据神木市国土空间总体规划、交通道路、特定参照物、居民小区等自然分割形成的平面区域为基础，将全市分为城区、镇（办事处）两个区域单元，城区细分为5个四级网格46个五级网格，镇（办事处）分为4个四级网格34个五级网格。</w:t>
      </w:r>
    </w:p>
    <w:p>
      <w:pPr>
        <w:spacing w:line="560" w:lineRule="exact"/>
        <w:ind w:firstLine="64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（二）规划标准</w:t>
      </w:r>
    </w:p>
    <w:p>
      <w:pPr>
        <w:spacing w:line="560" w:lineRule="exact"/>
        <w:ind w:firstLine="64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1.数量标准：网格单元内零售户数量由神木市烟草专卖局依据辖区人口数量作为重要制定基数，并根据神木市经济发展水平、交通状况、居民消费能力、卷烟销量等因素建模测算合理确定。</w:t>
      </w:r>
    </w:p>
    <w:p>
      <w:pPr>
        <w:spacing w:line="560" w:lineRule="exact"/>
        <w:ind w:firstLine="64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距离标准：城区街道分为繁华街道、主要街道、一般街道。繁华街道包含东兴街、麟州街、杨业大街，该区域内零售点间隔距离不低于80米；主要街道包含迎宾路、驼峰路、铧山路、惠安路、惠民路、黄庄路、人民路、精煤路、神华路、兴神路、开源路、诚信路，该区域内零售点间隔距离不低于30米；城区内除繁华街道、主要街道外，其他街道为一般街道，该区域内零售点间隔距离不低于50米。</w:t>
      </w:r>
    </w:p>
    <w:p>
      <w:pPr>
        <w:spacing w:line="560" w:lineRule="exact"/>
        <w:ind w:firstLine="64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大保当镇、锦界镇、店塔镇镇政府所在地主要街道零售点间隔距离不低于50米，其他镇镇政府所在地主要街道零售点间隔距离不低于30米。</w:t>
      </w:r>
    </w:p>
    <w:p>
      <w:pPr>
        <w:ind w:firstLine="640" w:firstLineChars="200"/>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3.在尊重现状的原则下，对现有持证的卷烟零售户超出网格规划的零售点数量或不符合距离要求的，通过公平竞争、自然淘汰、依法注销等调控手段，逐步调整优化，达到单元格内零售点规划的数量后，采取“退一增一”的原则，保持零售点数量合理。</w:t>
      </w:r>
    </w:p>
    <w:p>
      <w:pPr>
        <w:ind w:firstLine="640" w:firstLineChars="200"/>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（三）特殊区域标准（不受距离标准限制）</w:t>
      </w:r>
    </w:p>
    <w:p>
      <w:pPr>
        <w:autoSpaceDE w:val="0"/>
        <w:autoSpaceDN w:val="0"/>
        <w:adjustRightInd w:val="0"/>
        <w:spacing w:line="560" w:lineRule="exact"/>
        <w:ind w:firstLine="630"/>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w:t>
      </w:r>
      <w:r>
        <w:rPr>
          <w:rFonts w:hint="eastAsia" w:ascii="仿宋" w:hAnsi="仿宋" w:eastAsia="仿宋" w:cs="宋体"/>
          <w:color w:val="000000" w:themeColor="text1"/>
          <w:kern w:val="0"/>
          <w14:textFill>
            <w14:solidFill>
              <w14:schemeClr w14:val="tx1"/>
            </w14:solidFill>
          </w14:textFill>
        </w:rPr>
        <w:t>连锁经营企业（不含加盟店、挂名店），在申请烟草专卖零售许可证时，应当根据各个分店所在位置分别提出申请，遵循“一店一证”的原则；</w:t>
      </w:r>
    </w:p>
    <w:p>
      <w:pPr>
        <w:ind w:firstLine="640" w:firstLineChars="200"/>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2.综合（集贸）市场</w:t>
      </w:r>
      <w:r>
        <w:rPr>
          <w:rFonts w:hint="eastAsia" w:ascii="仿宋" w:hAnsi="仿宋" w:eastAsia="仿宋" w:cs="宋体"/>
          <w:color w:val="000000" w:themeColor="text1"/>
          <w:lang w:val="en-US" w:eastAsia="zh-CN"/>
          <w14:textFill>
            <w14:solidFill>
              <w14:schemeClr w14:val="tx1"/>
            </w14:solidFill>
          </w14:textFill>
        </w:rPr>
        <w:t>：</w:t>
      </w:r>
      <w:r>
        <w:rPr>
          <w:rFonts w:hint="eastAsia" w:ascii="仿宋" w:hAnsi="仿宋" w:eastAsia="仿宋" w:cs="宋体"/>
          <w:color w:val="000000" w:themeColor="text1"/>
          <w14:textFill>
            <w14:solidFill>
              <w14:schemeClr w14:val="tx1"/>
            </w14:solidFill>
          </w14:textFill>
        </w:rPr>
        <w:t>由政府统一规划、建设的各类综合性商贸（集贸）及专业市场。</w:t>
      </w:r>
      <w:r>
        <w:rPr>
          <w:rFonts w:hint="eastAsia" w:ascii="仿宋" w:hAnsi="仿宋" w:eastAsia="仿宋" w:cs="宋体"/>
          <w:color w:val="000000" w:themeColor="text1"/>
          <w:kern w:val="0"/>
          <w14:textFill>
            <w14:solidFill>
              <w14:schemeClr w14:val="tx1"/>
            </w14:solidFill>
          </w14:textFill>
        </w:rPr>
        <w:t>经营户在200户以内的，零售点控制在1个;超过200户的，最多不得超过2个零售点,间隔距离不低于80米（含80米）。</w:t>
      </w:r>
    </w:p>
    <w:p>
      <w:pPr>
        <w:ind w:firstLine="640" w:firstLineChars="200"/>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3.商住小区</w:t>
      </w:r>
      <w:r>
        <w:rPr>
          <w:rFonts w:hint="eastAsia" w:ascii="仿宋" w:hAnsi="仿宋" w:eastAsia="仿宋" w:cs="宋体"/>
          <w:color w:val="000000" w:themeColor="text1"/>
          <w:lang w:eastAsia="zh-CN"/>
          <w14:textFill>
            <w14:solidFill>
              <w14:schemeClr w14:val="tx1"/>
            </w14:solidFill>
          </w14:textFill>
        </w:rPr>
        <w:t>：</w:t>
      </w:r>
      <w:r>
        <w:rPr>
          <w:rFonts w:hint="eastAsia" w:ascii="仿宋" w:hAnsi="仿宋" w:eastAsia="仿宋" w:cs="宋体"/>
          <w:color w:val="000000" w:themeColor="text1"/>
          <w14:textFill>
            <w14:solidFill>
              <w14:schemeClr w14:val="tx1"/>
            </w14:solidFill>
          </w14:textFill>
        </w:rPr>
        <w:t>按500户（套）内设置一个烟草制品零售点，每增加300户可增设一个零售点。</w:t>
      </w:r>
    </w:p>
    <w:p>
      <w:pPr>
        <w:ind w:left="160" w:leftChars="50" w:firstLine="480" w:firstLineChars="150"/>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4.高速服务区</w:t>
      </w:r>
      <w:r>
        <w:rPr>
          <w:rFonts w:hint="eastAsia" w:ascii="仿宋" w:hAnsi="仿宋" w:eastAsia="仿宋" w:cs="宋体"/>
          <w:color w:val="000000" w:themeColor="text1"/>
          <w:lang w:eastAsia="zh-CN"/>
          <w14:textFill>
            <w14:solidFill>
              <w14:schemeClr w14:val="tx1"/>
            </w14:solidFill>
          </w14:textFill>
        </w:rPr>
        <w:t>：</w:t>
      </w:r>
      <w:r>
        <w:rPr>
          <w:rFonts w:hint="eastAsia" w:ascii="仿宋" w:hAnsi="仿宋" w:eastAsia="仿宋" w:cs="宋体"/>
          <w:color w:val="000000" w:themeColor="text1"/>
          <w14:textFill>
            <w14:solidFill>
              <w14:schemeClr w14:val="tx1"/>
            </w14:solidFill>
          </w14:textFill>
        </w:rPr>
        <w:t>道路单侧可设置一个零售点。</w:t>
      </w:r>
    </w:p>
    <w:p>
      <w:pPr>
        <w:ind w:firstLine="640" w:firstLineChars="200"/>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5.饭店酒店</w:t>
      </w:r>
      <w:r>
        <w:rPr>
          <w:rFonts w:hint="eastAsia" w:ascii="仿宋" w:hAnsi="仿宋" w:eastAsia="仿宋" w:cs="宋体"/>
          <w:color w:val="000000" w:themeColor="text1"/>
          <w:lang w:eastAsia="zh-CN"/>
          <w14:textFill>
            <w14:solidFill>
              <w14:schemeClr w14:val="tx1"/>
            </w14:solidFill>
          </w14:textFill>
        </w:rPr>
        <w:t>：</w:t>
      </w:r>
      <w:r>
        <w:rPr>
          <w:rFonts w:hint="eastAsia" w:ascii="仿宋" w:hAnsi="仿宋" w:eastAsia="仿宋" w:cs="宋体"/>
          <w:color w:val="000000" w:themeColor="text1"/>
          <w14:textFill>
            <w14:solidFill>
              <w14:schemeClr w14:val="tx1"/>
            </w14:solidFill>
          </w14:textFill>
        </w:rPr>
        <w:t>席位在80席（10人座/席位）以上，经营面积1000平方米以上且有相应的酒水超市或商务中心的，可设置1个烟草制品零售点。</w:t>
      </w:r>
    </w:p>
    <w:p>
      <w:pPr>
        <w:ind w:firstLine="640" w:firstLineChars="200"/>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6.商场</w:t>
      </w:r>
      <w:r>
        <w:rPr>
          <w:rFonts w:hint="eastAsia" w:ascii="仿宋" w:hAnsi="仿宋" w:eastAsia="仿宋" w:cs="宋体"/>
          <w:color w:val="000000" w:themeColor="text1"/>
          <w:lang w:eastAsia="zh-CN"/>
          <w14:textFill>
            <w14:solidFill>
              <w14:schemeClr w14:val="tx1"/>
            </w14:solidFill>
          </w14:textFill>
        </w:rPr>
        <w:t>：</w:t>
      </w:r>
      <w:r>
        <w:rPr>
          <w:rFonts w:hint="eastAsia" w:ascii="仿宋" w:hAnsi="仿宋" w:eastAsia="仿宋" w:cs="宋体"/>
          <w:color w:val="000000" w:themeColor="text1"/>
          <w14:textFill>
            <w14:solidFill>
              <w14:schemeClr w14:val="tx1"/>
            </w14:solidFill>
          </w14:textFill>
        </w:rPr>
        <w:t>经营面积达到2000平方米以上，具有独立的卷烟经营区域及柜台，可设置1个烟草制品零售点。</w:t>
      </w:r>
    </w:p>
    <w:p>
      <w:pPr>
        <w:ind w:firstLine="640" w:firstLineChars="200"/>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7.超市</w:t>
      </w:r>
      <w:r>
        <w:rPr>
          <w:rFonts w:hint="eastAsia" w:ascii="仿宋" w:hAnsi="仿宋" w:eastAsia="仿宋" w:cs="宋体"/>
          <w:color w:val="000000" w:themeColor="text1"/>
          <w:lang w:val="en-US" w:eastAsia="zh-CN"/>
          <w14:textFill>
            <w14:solidFill>
              <w14:schemeClr w14:val="tx1"/>
            </w14:solidFill>
          </w14:textFill>
        </w:rPr>
        <w:t>：</w:t>
      </w:r>
      <w:r>
        <w:rPr>
          <w:rFonts w:hint="eastAsia" w:ascii="仿宋" w:hAnsi="仿宋" w:eastAsia="仿宋" w:cs="宋体"/>
          <w:color w:val="000000" w:themeColor="text1"/>
          <w14:textFill>
            <w14:solidFill>
              <w14:schemeClr w14:val="tx1"/>
            </w14:solidFill>
          </w14:textFill>
        </w:rPr>
        <w:t>经营面积在300平方米以上，具有独立的卷烟经营区域及柜台，可设置1个烟草制品零售点。</w:t>
      </w:r>
    </w:p>
    <w:p>
      <w:pPr>
        <w:widowControl/>
        <w:ind w:firstLine="627" w:firstLineChars="196"/>
        <w:jc w:val="lef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第九条 有下列情形之一的，依法不予核发烟草专卖零售许可证：</w:t>
      </w:r>
    </w:p>
    <w:p>
      <w:pPr>
        <w:adjustRightInd w:val="0"/>
        <w:ind w:firstLine="64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（一）申请主体资格方面。</w:t>
      </w:r>
    </w:p>
    <w:p>
      <w:pPr>
        <w:adjustRightInd w:val="0"/>
        <w:ind w:firstLine="64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1.未取得营业执照的；</w:t>
      </w:r>
    </w:p>
    <w:p>
      <w:pPr>
        <w:adjustRightInd w:val="0"/>
        <w:ind w:firstLine="64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2.未成年人、无民事行为能力人及限制民事行为能力人；</w:t>
      </w:r>
    </w:p>
    <w:p>
      <w:pPr>
        <w:adjustRightInd w:val="0"/>
        <w:ind w:firstLine="640" w:firstLineChars="200"/>
        <w:rPr>
          <w:rFonts w:ascii="仿宋_GB2312"/>
        </w:rPr>
      </w:pPr>
      <w:r>
        <w:rPr>
          <w:rFonts w:hint="eastAsia" w:ascii="仿宋" w:hAnsi="仿宋" w:eastAsia="仿宋"/>
          <w:color w:val="000000" w:themeColor="text1"/>
          <w14:textFill>
            <w14:solidFill>
              <w14:schemeClr w14:val="tx1"/>
            </w14:solidFill>
          </w14:textFill>
        </w:rPr>
        <w:t>3.</w:t>
      </w:r>
      <w:r>
        <w:rPr>
          <w:rFonts w:hint="eastAsia" w:ascii="仿宋_GB2312"/>
        </w:rPr>
        <w:t>外商投资商业企业或者个体工商户，或者外商投资的商业企业或者个体工商户以特许吸纳加盟店及其他再投资等形式变相从事烟草专卖品经营业务的；</w:t>
      </w:r>
    </w:p>
    <w:p>
      <w:pPr>
        <w:adjustRightInd w:val="0"/>
        <w:ind w:firstLine="64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4.取消从事烟草专卖业务资格不满三年的；</w:t>
      </w:r>
    </w:p>
    <w:p>
      <w:pPr>
        <w:adjustRightInd w:val="0"/>
        <w:ind w:firstLine="64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5.因申请人隐瞒有关情况或者提供虚假材料，烟草专卖行政主管部门做出不予受理或者不予发证决定后，申请人一年内再次提出申请的；</w:t>
      </w:r>
    </w:p>
    <w:p>
      <w:pPr>
        <w:adjustRightInd w:val="0"/>
        <w:ind w:firstLine="64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6.因申请人以欺骗、贿赂等不正当手段取得的烟草专卖许可证被撤销后，申请人三年内再次提出申请的；</w:t>
      </w:r>
    </w:p>
    <w:p>
      <w:pPr>
        <w:adjustRightInd w:val="0"/>
        <w:ind w:firstLine="64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7.未领取烟草专卖零售许可证经营烟草专卖品业务，并且一年内被执法机关处罚两次以上，在三年内申请领取烟草专卖零售许可证的。</w:t>
      </w:r>
    </w:p>
    <w:p>
      <w:pPr>
        <w:adjustRightInd w:val="0"/>
        <w:ind w:firstLine="64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8.因违法违规被收回烟草专卖零售许可证后，用他人名义申请办证，本人实际从事或参与经营活动的；</w:t>
      </w:r>
    </w:p>
    <w:p>
      <w:pPr>
        <w:adjustRightInd w:val="0"/>
        <w:ind w:firstLine="64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9.被列入各级人民政府社会公共信用信息平台《违法失信黑名单》的申请主体，应当不予发放烟草专卖零售许可证，直至其被移出“黑名单”。</w:t>
      </w:r>
    </w:p>
    <w:p>
      <w:pPr>
        <w:adjustRightInd w:val="0"/>
        <w:ind w:firstLine="64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（二）经营场所方面。</w:t>
      </w:r>
    </w:p>
    <w:p>
      <w:pPr>
        <w:spacing w:line="560" w:lineRule="exact"/>
        <w:ind w:firstLine="640" w:firstLineChars="200"/>
        <w:jc w:val="lef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 无固定经营场所的，</w:t>
      </w:r>
      <w:r>
        <w:rPr>
          <w:rFonts w:hint="eastAsia" w:ascii="仿宋" w:hAnsi="仿宋" w:eastAsia="仿宋"/>
          <w:color w:val="000000" w:themeColor="text1"/>
          <w:lang w:val="zh-CN"/>
          <w14:textFill>
            <w14:solidFill>
              <w14:schemeClr w14:val="tx1"/>
            </w14:solidFill>
          </w14:textFill>
        </w:rPr>
        <w:t>如</w:t>
      </w:r>
      <w:r>
        <w:rPr>
          <w:rFonts w:hint="eastAsia" w:ascii="仿宋" w:hAnsi="仿宋" w:eastAsia="仿宋"/>
          <w:color w:val="000000" w:themeColor="text1"/>
          <w14:textFill>
            <w14:solidFill>
              <w14:schemeClr w14:val="tx1"/>
            </w14:solidFill>
          </w14:textFill>
        </w:rPr>
        <w:t xml:space="preserve">流动摊点（车、棚）、简易搭盖、活动板房、违章建筑、临时建筑、待拆建筑、集装箱屋、报刊亭、电话亭、危房以及尚未竣工或未交付使用的场所等； </w:t>
      </w:r>
    </w:p>
    <w:p>
      <w:pPr>
        <w:spacing w:line="560" w:lineRule="exact"/>
        <w:ind w:firstLine="640" w:firstLineChars="200"/>
        <w:jc w:val="lef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w:t>
      </w:r>
      <w:r>
        <w:rPr>
          <w:rFonts w:hint="eastAsia" w:ascii="仿宋" w:hAnsi="仿宋" w:eastAsia="仿宋"/>
          <w:color w:val="000000" w:themeColor="text1"/>
          <w:lang w:val="zh-CN"/>
          <w14:textFill>
            <w14:solidFill>
              <w14:schemeClr w14:val="tx1"/>
            </w14:solidFill>
          </w14:textFill>
        </w:rPr>
        <w:t>无与住所相独立的固定经营场所，如</w:t>
      </w:r>
      <w:r>
        <w:rPr>
          <w:rFonts w:hint="eastAsia" w:ascii="仿宋" w:hAnsi="仿宋" w:eastAsia="仿宋"/>
          <w:color w:val="000000" w:themeColor="text1"/>
          <w14:textFill>
            <w14:solidFill>
              <w14:schemeClr w14:val="tx1"/>
            </w14:solidFill>
          </w14:textFill>
        </w:rPr>
        <w:t>住宅公寓、办公场所、仓库、生活住所的车库、地下室、储藏室以及地面二层及以上未对消费者全开放的场所等</w:t>
      </w:r>
      <w:r>
        <w:rPr>
          <w:rFonts w:hint="eastAsia" w:ascii="仿宋" w:hAnsi="仿宋" w:eastAsia="仿宋"/>
          <w:color w:val="000000" w:themeColor="text1"/>
          <w:lang w:val="zh-CN"/>
          <w14:textFill>
            <w14:solidFill>
              <w14:schemeClr w14:val="tx1"/>
            </w14:solidFill>
          </w14:textFill>
        </w:rPr>
        <w:t>；</w:t>
      </w:r>
    </w:p>
    <w:p>
      <w:pPr>
        <w:adjustRightInd w:val="0"/>
        <w:ind w:firstLine="64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3.经营场所不具有卷烟陈列、展示和仓储条件的，或经营场所与住所不相独立的，拒不改正或改正后仍不符合要求的；</w:t>
      </w:r>
    </w:p>
    <w:p>
      <w:pPr>
        <w:spacing w:line="560" w:lineRule="exact"/>
        <w:ind w:firstLine="640" w:firstLineChars="200"/>
        <w:jc w:val="lef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4.经营场所存在安全隐患，且不具备安全措施保障，不适宜经营烟草制品的，如主营业务为</w:t>
      </w:r>
      <w:r>
        <w:rPr>
          <w:rFonts w:hint="eastAsia" w:ascii="仿宋" w:hAnsi="仿宋" w:eastAsia="仿宋" w:cs="仿宋_GB2312"/>
          <w:color w:val="000000" w:themeColor="text1"/>
          <w14:textFill>
            <w14:solidFill>
              <w14:schemeClr w14:val="tx1"/>
            </w14:solidFill>
          </w14:textFill>
        </w:rPr>
        <w:t>美容、化工、农药、化肥、鞭炮、燃气或</w:t>
      </w:r>
      <w:r>
        <w:rPr>
          <w:rFonts w:hint="eastAsia" w:ascii="仿宋" w:hAnsi="仿宋" w:eastAsia="仿宋"/>
          <w:color w:val="000000" w:themeColor="text1"/>
          <w14:textFill>
            <w14:solidFill>
              <w14:schemeClr w14:val="tx1"/>
            </w14:solidFill>
          </w14:textFill>
        </w:rPr>
        <w:t>生产、销售、经营、储存有毒有害、易挥发类物质、易燃易爆等，不符合食品安全标准，容易造成卷烟污染的。</w:t>
      </w:r>
    </w:p>
    <w:p>
      <w:pPr>
        <w:adjustRightInd w:val="0"/>
        <w:ind w:firstLine="64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5. 同一经营地址已申领烟草专卖零售许可证的。</w:t>
      </w:r>
    </w:p>
    <w:p>
      <w:pPr>
        <w:adjustRightInd w:val="0"/>
        <w:ind w:firstLine="64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（三）经营模式方面。</w:t>
      </w:r>
    </w:p>
    <w:p>
      <w:pPr>
        <w:adjustRightInd w:val="0"/>
        <w:ind w:firstLine="640" w:firstLineChars="200"/>
        <w:rPr>
          <w:rFonts w:hint="eastAsia" w:ascii="仿宋" w:hAnsi="仿宋" w:eastAsia="仿宋"/>
          <w:color w:val="000000" w:themeColor="text1"/>
          <w:lang w:eastAsia="zh-CN"/>
          <w14:textFill>
            <w14:solidFill>
              <w14:schemeClr w14:val="tx1"/>
            </w14:solidFill>
          </w14:textFill>
        </w:rPr>
      </w:pPr>
      <w:r>
        <w:rPr>
          <w:rFonts w:hint="eastAsia" w:ascii="仿宋" w:hAnsi="仿宋" w:eastAsia="仿宋"/>
          <w:color w:val="000000" w:themeColor="text1"/>
          <w14:textFill>
            <w14:solidFill>
              <w14:schemeClr w14:val="tx1"/>
            </w14:solidFill>
          </w14:textFill>
        </w:rPr>
        <w:t>1.利用自动售货机（柜）销售烟草制品的</w:t>
      </w:r>
      <w:r>
        <w:rPr>
          <w:rFonts w:hint="eastAsia" w:ascii="仿宋" w:hAnsi="仿宋" w:eastAsia="仿宋"/>
          <w:color w:val="000000" w:themeColor="text1"/>
          <w:lang w:eastAsia="zh-CN"/>
          <w14:textFill>
            <w14:solidFill>
              <w14:schemeClr w14:val="tx1"/>
            </w14:solidFill>
          </w14:textFill>
        </w:rPr>
        <w:t>。</w:t>
      </w:r>
    </w:p>
    <w:p>
      <w:pPr>
        <w:adjustRightInd w:val="0"/>
        <w:ind w:firstLine="64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2.利用信息网络渠道销售烟草制品的。</w:t>
      </w:r>
    </w:p>
    <w:p>
      <w:pPr>
        <w:spacing w:line="560" w:lineRule="exact"/>
        <w:ind w:firstLine="640" w:firstLineChars="200"/>
        <w:jc w:val="lef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3.</w:t>
      </w:r>
      <w:r>
        <w:rPr>
          <w:rFonts w:hint="eastAsia" w:ascii="仿宋" w:hAnsi="仿宋" w:eastAsia="仿宋" w:cs="宋体"/>
          <w:bCs/>
          <w:color w:val="000000" w:themeColor="text1"/>
          <w14:textFill>
            <w14:solidFill>
              <w14:schemeClr w14:val="tx1"/>
            </w14:solidFill>
          </w14:textFill>
        </w:rPr>
        <w:t>主营业务为通信器材、电子商品、汽车维修、美容美甲、保健按摩、药妆医械、文化体育、书报杂志、音像器乐、复印照相、彩票书店、网吧、歌舞酒吧、棋牌茶楼、餐饮小吃、蛋糕烘焙、粮油散酒、花卉水果、仪器珠宝、床上用品、服饰箱包、车贸服务、修理加工、寄递配送、中介劳服、旅行服务、婚丧祭祀、金融证券、农具农资、农畜养殖、渔具水产、宠物医服、家电家具、五金建材、装饰装潢等专业性较强，与烟草制品零售业务没有直接或者间接互补营销关系的业态类型</w:t>
      </w:r>
      <w:r>
        <w:rPr>
          <w:rFonts w:hint="eastAsia" w:ascii="仿宋" w:hAnsi="仿宋" w:eastAsia="仿宋"/>
          <w:color w:val="000000" w:themeColor="text1"/>
          <w14:textFill>
            <w14:solidFill>
              <w14:schemeClr w14:val="tx1"/>
            </w14:solidFill>
          </w14:textFill>
        </w:rPr>
        <w:t xml:space="preserve">。 </w:t>
      </w:r>
    </w:p>
    <w:p>
      <w:pPr>
        <w:adjustRightInd w:val="0"/>
        <w:ind w:firstLine="64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（四）特殊区域。</w:t>
      </w:r>
    </w:p>
    <w:p>
      <w:pPr>
        <w:widowControl/>
        <w:spacing w:line="560" w:lineRule="exact"/>
        <w:ind w:firstLine="640" w:firstLineChars="200"/>
        <w:rPr>
          <w:rFonts w:ascii="仿宋" w:hAnsi="仿宋" w:eastAsia="仿宋"/>
          <w:color w:val="000000" w:themeColor="text1"/>
          <w:kern w:val="0"/>
          <w14:textFill>
            <w14:solidFill>
              <w14:schemeClr w14:val="tx1"/>
            </w14:solidFill>
          </w14:textFill>
        </w:rPr>
      </w:pPr>
      <w:r>
        <w:rPr>
          <w:rFonts w:hint="eastAsia" w:ascii="仿宋" w:hAnsi="仿宋" w:eastAsia="仿宋"/>
          <w:color w:val="000000" w:themeColor="text1"/>
          <w:kern w:val="0"/>
          <w14:textFill>
            <w14:solidFill>
              <w14:schemeClr w14:val="tx1"/>
            </w14:solidFill>
          </w14:textFill>
        </w:rPr>
        <w:t>1.幼儿园、中小学校内部；</w:t>
      </w:r>
    </w:p>
    <w:p>
      <w:pPr>
        <w:widowControl/>
        <w:spacing w:line="560" w:lineRule="exact"/>
        <w:ind w:firstLine="640" w:firstLineChars="200"/>
        <w:rPr>
          <w:rFonts w:ascii="仿宋" w:hAnsi="仿宋" w:eastAsia="仿宋"/>
          <w:color w:val="000000" w:themeColor="text1"/>
          <w:kern w:val="0"/>
          <w14:textFill>
            <w14:solidFill>
              <w14:schemeClr w14:val="tx1"/>
            </w14:solidFill>
          </w14:textFill>
        </w:rPr>
      </w:pPr>
      <w:r>
        <w:rPr>
          <w:rFonts w:hint="eastAsia" w:ascii="仿宋" w:hAnsi="仿宋" w:eastAsia="仿宋"/>
          <w:color w:val="000000" w:themeColor="text1"/>
          <w:kern w:val="0"/>
          <w14:textFill>
            <w14:solidFill>
              <w14:schemeClr w14:val="tx1"/>
            </w14:solidFill>
          </w14:textFill>
        </w:rPr>
        <w:t>2.城区中小学校、幼儿园与烟草制品零售点的距离不得低于50米,乡镇中小学校、幼儿园与烟草制品零售点的距离不得低于30米。测量方法为:以幼儿园、中小学校日常可通行的出入口中间点为圆心,50米、30米为半径的距离；</w:t>
      </w:r>
    </w:p>
    <w:p>
      <w:pPr>
        <w:widowControl/>
        <w:spacing w:line="560" w:lineRule="exact"/>
        <w:ind w:firstLine="640" w:firstLineChars="200"/>
        <w:rPr>
          <w:rFonts w:ascii="仿宋" w:hAnsi="仿宋" w:eastAsia="仿宋" w:cs="仿宋_GB2312"/>
          <w:color w:val="000000" w:themeColor="text1"/>
          <w:kern w:val="0"/>
          <w14:textFill>
            <w14:solidFill>
              <w14:schemeClr w14:val="tx1"/>
            </w14:solidFill>
          </w14:textFill>
        </w:rPr>
      </w:pPr>
      <w:r>
        <w:rPr>
          <w:rFonts w:hint="eastAsia" w:ascii="仿宋" w:hAnsi="仿宋" w:eastAsia="仿宋" w:cs="仿宋_GB2312"/>
          <w:color w:val="000000" w:themeColor="text1"/>
          <w:kern w:val="0"/>
          <w14:textFill>
            <w14:solidFill>
              <w14:schemeClr w14:val="tx1"/>
            </w14:solidFill>
          </w14:textFill>
        </w:rPr>
        <w:t>3.以未成年人为服务对象的经营场所内部，如：</w:t>
      </w:r>
      <w:r>
        <w:rPr>
          <w:rFonts w:hint="eastAsia" w:ascii="仿宋" w:hAnsi="仿宋" w:eastAsia="仿宋" w:cs="仿宋"/>
          <w:color w:val="000000" w:themeColor="text1"/>
          <w:kern w:val="0"/>
          <w14:textFill>
            <w14:solidFill>
              <w14:schemeClr w14:val="tx1"/>
            </w14:solidFill>
          </w14:textFill>
        </w:rPr>
        <w:t>托幼机构、少年宫</w:t>
      </w:r>
      <w:r>
        <w:rPr>
          <w:rFonts w:hint="eastAsia" w:ascii="仿宋" w:hAnsi="仿宋" w:eastAsia="仿宋" w:cs="仿宋_GB2312"/>
          <w:color w:val="000000" w:themeColor="text1"/>
          <w:kern w:val="0"/>
          <w14:textFill>
            <w14:solidFill>
              <w14:schemeClr w14:val="tx1"/>
            </w14:solidFill>
          </w14:textFill>
        </w:rPr>
        <w:t>；</w:t>
      </w:r>
    </w:p>
    <w:p>
      <w:pPr>
        <w:spacing w:line="560" w:lineRule="exact"/>
        <w:ind w:firstLine="640" w:firstLineChars="200"/>
        <w:jc w:val="lef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4.公安消防、文化稽查、卫生监督等政府相关部门规定的不适宜经营卷烟的场所，如：网吧、游戏厅、医疗卫生机构内部、</w:t>
      </w:r>
      <w:r>
        <w:rPr>
          <w:rFonts w:hint="eastAsia" w:ascii="仿宋" w:hAnsi="仿宋" w:eastAsia="仿宋" w:cs="仿宋"/>
          <w:color w:val="000000" w:themeColor="text1"/>
          <w14:textFill>
            <w14:solidFill>
              <w14:schemeClr w14:val="tx1"/>
            </w14:solidFill>
          </w14:textFill>
        </w:rPr>
        <w:t>社会福利机构和图书馆（室）、科技馆（宫）、美术馆</w:t>
      </w:r>
      <w:r>
        <w:rPr>
          <w:rFonts w:hint="eastAsia" w:ascii="仿宋" w:hAnsi="仿宋" w:eastAsia="仿宋"/>
          <w:color w:val="000000" w:themeColor="text1"/>
          <w14:textFill>
            <w14:solidFill>
              <w14:schemeClr w14:val="tx1"/>
            </w14:solidFill>
          </w14:textFill>
        </w:rPr>
        <w:t>等；</w:t>
      </w:r>
    </w:p>
    <w:p>
      <w:pPr>
        <w:spacing w:line="560" w:lineRule="exact"/>
        <w:ind w:firstLine="640" w:firstLineChars="200"/>
        <w:jc w:val="lef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5.党政机关内部；</w:t>
      </w:r>
    </w:p>
    <w:p>
      <w:pPr>
        <w:spacing w:line="560" w:lineRule="exact"/>
        <w:ind w:firstLine="640" w:firstLineChars="200"/>
        <w:jc w:val="lef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6.政府明令禁止经营卷烟类商品的区域；</w:t>
      </w:r>
    </w:p>
    <w:p>
      <w:pPr>
        <w:spacing w:line="560" w:lineRule="exact"/>
        <w:ind w:firstLine="640" w:firstLineChars="200"/>
        <w:jc w:val="lef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7.</w:t>
      </w:r>
      <w:r>
        <w:rPr>
          <w:rFonts w:hint="eastAsia" w:ascii="仿宋" w:hAnsi="仿宋" w:eastAsia="仿宋"/>
          <w:color w:val="000000" w:themeColor="text1"/>
          <w:lang w:val="zh-CN"/>
          <w14:textFill>
            <w14:solidFill>
              <w14:schemeClr w14:val="tx1"/>
            </w14:solidFill>
          </w14:textFill>
        </w:rPr>
        <w:t>违章建筑或</w:t>
      </w:r>
      <w:r>
        <w:rPr>
          <w:rFonts w:hint="eastAsia" w:ascii="仿宋" w:hAnsi="仿宋" w:eastAsia="仿宋"/>
          <w:color w:val="000000" w:themeColor="text1"/>
          <w14:textFill>
            <w14:solidFill>
              <w14:schemeClr w14:val="tx1"/>
            </w14:solidFill>
          </w14:textFill>
        </w:rPr>
        <w:t>在政府城市建设、规定拆迁或有关执法机关查封范围内的经营场所（以相关文件、通知为准）；</w:t>
      </w:r>
    </w:p>
    <w:p>
      <w:pPr>
        <w:autoSpaceDE w:val="0"/>
        <w:autoSpaceDN w:val="0"/>
        <w:adjustRightInd w:val="0"/>
        <w:spacing w:line="560" w:lineRule="exact"/>
        <w:ind w:firstLine="64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8.法律、法规、规章规定的不予发放烟草专卖零售许可证的其他情形。</w:t>
      </w:r>
    </w:p>
    <w:p>
      <w:pPr>
        <w:spacing w:line="560" w:lineRule="exact"/>
        <w:ind w:firstLine="640" w:firstLineChars="200"/>
        <w:rPr>
          <w:rFonts w:ascii="仿宋" w:hAnsi="仿宋" w:eastAsia="仿宋" w:cs="方正仿宋_GB2312"/>
        </w:rPr>
      </w:pPr>
      <w:r>
        <w:rPr>
          <w:rFonts w:hint="eastAsia" w:ascii="仿宋" w:hAnsi="仿宋" w:eastAsia="仿宋"/>
          <w:color w:val="000000" w:themeColor="text1"/>
          <w14:textFill>
            <w14:solidFill>
              <w14:schemeClr w14:val="tx1"/>
            </w14:solidFill>
          </w14:textFill>
        </w:rPr>
        <w:t xml:space="preserve">第十条 </w:t>
      </w:r>
      <w:r>
        <w:rPr>
          <w:rFonts w:hint="eastAsia" w:ascii="仿宋" w:hAnsi="仿宋" w:eastAsia="仿宋" w:cs="方正仿宋_GB2312"/>
        </w:rPr>
        <w:t>属于下列社会特殊群体，本人（或直系亲属）从事烟草制品零售业务且确属家庭经济困难（相关部门出具书面证明材料）的，其首次办理烟草专卖零售许可证时，不受本规定第八条第（一）款第1项的零售点合理布局数量限制，间距标准按本规定第八条第（一）款第2项的50%执行：</w:t>
      </w:r>
    </w:p>
    <w:p>
      <w:pPr>
        <w:spacing w:line="560" w:lineRule="exact"/>
        <w:ind w:firstLine="640" w:firstLineChars="200"/>
        <w:rPr>
          <w:rFonts w:ascii="仿宋" w:hAnsi="仿宋" w:eastAsia="仿宋" w:cs="方正仿宋_GB2312"/>
        </w:rPr>
      </w:pPr>
      <w:r>
        <w:rPr>
          <w:rFonts w:hint="eastAsia" w:ascii="仿宋" w:hAnsi="仿宋" w:eastAsia="仿宋" w:cs="方正仿宋_GB2312"/>
        </w:rPr>
        <w:t>（一）具有以下级别的残疾人员：</w:t>
      </w:r>
    </w:p>
    <w:p>
      <w:pPr>
        <w:spacing w:line="560" w:lineRule="exact"/>
        <w:ind w:firstLine="640" w:firstLineChars="200"/>
        <w:rPr>
          <w:rFonts w:ascii="仿宋" w:hAnsi="仿宋" w:eastAsia="仿宋" w:cs="方正仿宋_GB2312"/>
        </w:rPr>
      </w:pPr>
      <w:r>
        <w:rPr>
          <w:rFonts w:hint="eastAsia" w:ascii="仿宋" w:hAnsi="仿宋" w:eastAsia="仿宋" w:cs="方正仿宋_GB2312"/>
        </w:rPr>
        <w:t>1.视力残疾：一级盲、二级盲</w:t>
      </w:r>
    </w:p>
    <w:p>
      <w:pPr>
        <w:spacing w:line="560" w:lineRule="exact"/>
        <w:ind w:firstLine="640" w:firstLineChars="200"/>
        <w:rPr>
          <w:rFonts w:ascii="仿宋" w:hAnsi="仿宋" w:eastAsia="仿宋" w:cs="方正仿宋_GB2312"/>
        </w:rPr>
      </w:pPr>
      <w:r>
        <w:rPr>
          <w:rFonts w:hint="eastAsia" w:ascii="仿宋" w:hAnsi="仿宋" w:eastAsia="仿宋" w:cs="方正仿宋_GB2312"/>
        </w:rPr>
        <w:t>2.听力残疾：一、二、三级</w:t>
      </w:r>
    </w:p>
    <w:p>
      <w:pPr>
        <w:spacing w:line="560" w:lineRule="exact"/>
        <w:ind w:firstLine="640" w:firstLineChars="200"/>
        <w:rPr>
          <w:rFonts w:ascii="仿宋" w:hAnsi="仿宋" w:eastAsia="仿宋" w:cs="方正仿宋_GB2312"/>
        </w:rPr>
      </w:pPr>
      <w:r>
        <w:rPr>
          <w:rFonts w:hint="eastAsia" w:ascii="仿宋" w:hAnsi="仿宋" w:eastAsia="仿宋" w:cs="方正仿宋_GB2312"/>
        </w:rPr>
        <w:t>3.言语残疾：一、二、三级</w:t>
      </w:r>
    </w:p>
    <w:p>
      <w:pPr>
        <w:spacing w:line="560" w:lineRule="exact"/>
        <w:ind w:firstLine="640" w:firstLineChars="200"/>
        <w:rPr>
          <w:rFonts w:ascii="仿宋" w:hAnsi="仿宋" w:eastAsia="仿宋" w:cs="方正仿宋_GB2312"/>
        </w:rPr>
      </w:pPr>
      <w:r>
        <w:rPr>
          <w:rFonts w:hint="eastAsia" w:ascii="仿宋" w:hAnsi="仿宋" w:eastAsia="仿宋" w:cs="方正仿宋_GB2312"/>
        </w:rPr>
        <w:t>4.肢体残疾：重度（一级）、中度（二级）</w:t>
      </w:r>
    </w:p>
    <w:p>
      <w:pPr>
        <w:spacing w:line="560" w:lineRule="exact"/>
        <w:ind w:firstLine="640" w:firstLineChars="200"/>
        <w:rPr>
          <w:rFonts w:ascii="仿宋" w:hAnsi="仿宋" w:eastAsia="仿宋" w:cs="方正仿宋_GB2312"/>
        </w:rPr>
      </w:pPr>
      <w:r>
        <w:rPr>
          <w:rFonts w:hint="eastAsia" w:ascii="仿宋" w:hAnsi="仿宋" w:eastAsia="仿宋" w:cs="方正仿宋_GB2312"/>
        </w:rPr>
        <w:t>（二）军烈属（持烈士证的父母、配偶、子女，仅限一名成员，凭烈士证和相关证明材料）；</w:t>
      </w:r>
    </w:p>
    <w:p>
      <w:pPr>
        <w:spacing w:line="560" w:lineRule="exact"/>
        <w:ind w:firstLine="640" w:firstLineChars="200"/>
        <w:rPr>
          <w:rFonts w:ascii="仿宋" w:hAnsi="仿宋" w:eastAsia="仿宋" w:cs="方正仿宋_GB2312"/>
        </w:rPr>
      </w:pPr>
      <w:r>
        <w:rPr>
          <w:rFonts w:hint="eastAsia" w:ascii="仿宋" w:hAnsi="仿宋" w:eastAsia="仿宋" w:cs="方正仿宋_GB2312"/>
        </w:rPr>
        <w:t>（三）退役军人（持有转业或退伍军人证件，以转业、退伍军人证颁发日期为准，两年内有效）；</w:t>
      </w:r>
    </w:p>
    <w:p>
      <w:pPr>
        <w:spacing w:line="560" w:lineRule="exact"/>
        <w:ind w:firstLine="640" w:firstLineChars="200"/>
        <w:rPr>
          <w:rFonts w:ascii="仿宋" w:hAnsi="仿宋" w:eastAsia="仿宋" w:cs="方正仿宋_GB2312"/>
        </w:rPr>
      </w:pPr>
      <w:r>
        <w:rPr>
          <w:rFonts w:hint="eastAsia" w:ascii="仿宋" w:hAnsi="仿宋" w:eastAsia="仿宋" w:cs="方正仿宋_GB2312"/>
        </w:rPr>
        <w:t>（四）国家明文规定给予政策扶持，经集体研究，认为可以扶持照顾的对象。</w:t>
      </w:r>
    </w:p>
    <w:p>
      <w:pPr>
        <w:spacing w:line="560" w:lineRule="exact"/>
        <w:ind w:firstLine="640" w:firstLineChars="200"/>
        <w:contextualSpacing/>
        <w:rPr>
          <w:rFonts w:ascii="仿宋" w:hAnsi="仿宋" w:eastAsia="仿宋" w:cs="仿宋_GB2312"/>
          <w:color w:val="000000" w:themeColor="text1"/>
          <w14:textFill>
            <w14:solidFill>
              <w14:schemeClr w14:val="tx1"/>
            </w14:solidFill>
          </w14:textFill>
        </w:rPr>
      </w:pPr>
      <w:r>
        <w:rPr>
          <w:rFonts w:hint="eastAsia" w:ascii="仿宋" w:hAnsi="仿宋" w:eastAsia="仿宋" w:cs="黑体"/>
          <w:color w:val="000000" w:themeColor="text1"/>
          <w14:textFill>
            <w14:solidFill>
              <w14:schemeClr w14:val="tx1"/>
            </w14:solidFill>
          </w14:textFill>
        </w:rPr>
        <w:t xml:space="preserve">第十一条 </w:t>
      </w:r>
      <w:r>
        <w:rPr>
          <w:rFonts w:hint="eastAsia" w:ascii="仿宋" w:hAnsi="仿宋" w:eastAsia="仿宋" w:cs="仿宋_GB2312"/>
          <w:color w:val="000000" w:themeColor="text1"/>
          <w14:textFill>
            <w14:solidFill>
              <w14:schemeClr w14:val="tx1"/>
            </w14:solidFill>
          </w14:textFill>
        </w:rPr>
        <w:t>有下列情形之一的，依法不予放宽办证条件：</w:t>
      </w:r>
    </w:p>
    <w:p>
      <w:pPr>
        <w:autoSpaceDE w:val="0"/>
        <w:autoSpaceDN w:val="0"/>
        <w:adjustRightInd w:val="0"/>
        <w:spacing w:line="560" w:lineRule="exact"/>
        <w:ind w:firstLine="640" w:firstLineChars="200"/>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1.有固定职业及稳定收入来源的；</w:t>
      </w:r>
    </w:p>
    <w:p>
      <w:pPr>
        <w:autoSpaceDE w:val="0"/>
        <w:autoSpaceDN w:val="0"/>
        <w:adjustRightInd w:val="0"/>
        <w:spacing w:line="560" w:lineRule="exact"/>
        <w:ind w:firstLine="640" w:firstLineChars="200"/>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2.享受退休、退职、退养待遇具有稳定生活保障的；</w:t>
      </w:r>
    </w:p>
    <w:p>
      <w:pPr>
        <w:autoSpaceDE w:val="0"/>
        <w:autoSpaceDN w:val="0"/>
        <w:adjustRightInd w:val="0"/>
        <w:spacing w:line="560" w:lineRule="exact"/>
        <w:ind w:firstLine="640" w:firstLineChars="200"/>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3.非本人或直系亲属（仅限配偶、父母、子女或法定监护人）经营的；</w:t>
      </w:r>
    </w:p>
    <w:p>
      <w:pPr>
        <w:autoSpaceDE w:val="0"/>
        <w:autoSpaceDN w:val="0"/>
        <w:adjustRightInd w:val="0"/>
        <w:spacing w:line="560" w:lineRule="exact"/>
        <w:ind w:firstLine="640" w:firstLineChars="200"/>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4.较低级别的视力残疾、听力残疾、言语残疾和肢体残疾且可以从事一般社会工作的；</w:t>
      </w:r>
    </w:p>
    <w:p>
      <w:pPr>
        <w:autoSpaceDE w:val="0"/>
        <w:autoSpaceDN w:val="0"/>
        <w:adjustRightInd w:val="0"/>
        <w:spacing w:line="560" w:lineRule="exact"/>
        <w:ind w:firstLine="640" w:firstLineChars="200"/>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5.已在本行政区域或在其他市县内享受过一次放宽办证政策的；</w:t>
      </w:r>
    </w:p>
    <w:p>
      <w:pPr>
        <w:autoSpaceDE w:val="0"/>
        <w:autoSpaceDN w:val="0"/>
        <w:adjustRightInd w:val="0"/>
        <w:spacing w:line="560" w:lineRule="exact"/>
        <w:ind w:firstLine="640" w:firstLineChars="200"/>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6.法律法规及其他规范性文件规定的不予放宽的情形。</w:t>
      </w:r>
    </w:p>
    <w:p>
      <w:pPr>
        <w:ind w:firstLine="640" w:firstLineChars="200"/>
        <w:jc w:val="left"/>
        <w:rPr>
          <w:rFonts w:ascii="仿宋" w:hAnsi="仿宋" w:eastAsia="仿宋" w:cs="宋体"/>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第十二条</w:t>
      </w:r>
      <w:r>
        <w:rPr>
          <w:rFonts w:hint="eastAsia" w:ascii="仿宋" w:hAnsi="仿宋" w:eastAsia="仿宋" w:cs="宋体"/>
          <w:color w:val="000000" w:themeColor="text1"/>
          <w14:textFill>
            <w14:solidFill>
              <w14:schemeClr w14:val="tx1"/>
            </w14:solidFill>
          </w14:textFill>
        </w:rPr>
        <w:t xml:space="preserve"> 由于自然灾害、政府拆迁、道路建设等不可抗力因素，导致已经设置的零售点在原址上无法正常经营，原持证人凭有效证明重新申请烟草专卖零售许可证，其布局应当符合本规定。</w:t>
      </w:r>
    </w:p>
    <w:p>
      <w:pPr>
        <w:spacing w:line="560" w:lineRule="exact"/>
        <w:ind w:firstLine="640" w:firstLineChars="200"/>
        <w:jc w:val="center"/>
        <w:rPr>
          <w:rFonts w:asciiTheme="majorEastAsia" w:hAnsiTheme="majorEastAsia" w:eastAsiaTheme="majorEastAsia"/>
        </w:rPr>
      </w:pPr>
      <w:r>
        <w:rPr>
          <w:rFonts w:hint="eastAsia" w:asciiTheme="majorEastAsia" w:hAnsiTheme="majorEastAsia" w:eastAsiaTheme="majorEastAsia"/>
        </w:rPr>
        <w:t>第四章 附则</w:t>
      </w:r>
    </w:p>
    <w:p>
      <w:pPr>
        <w:spacing w:line="560" w:lineRule="exact"/>
        <w:ind w:firstLine="640" w:firstLineChars="200"/>
        <w:rPr>
          <w:rFonts w:ascii="仿宋" w:hAnsi="仿宋" w:eastAsia="仿宋"/>
        </w:rPr>
      </w:pPr>
      <w:r>
        <w:rPr>
          <w:rFonts w:hint="eastAsia" w:ascii="仿宋" w:hAnsi="仿宋" w:eastAsia="仿宋" w:cs="黑体"/>
        </w:rPr>
        <w:t>第十三条</w:t>
      </w:r>
      <w:r>
        <w:rPr>
          <w:rFonts w:hint="eastAsia" w:ascii="仿宋" w:hAnsi="仿宋" w:eastAsia="仿宋"/>
        </w:rPr>
        <w:t xml:space="preserve"> 经营场所条件</w:t>
      </w:r>
    </w:p>
    <w:p>
      <w:pPr>
        <w:spacing w:line="560" w:lineRule="exact"/>
        <w:ind w:firstLine="640" w:firstLineChars="200"/>
        <w:jc w:val="left"/>
        <w:rPr>
          <w:rFonts w:ascii="仿宋" w:hAnsi="仿宋" w:eastAsia="仿宋"/>
        </w:rPr>
      </w:pPr>
      <w:r>
        <w:rPr>
          <w:rFonts w:hint="eastAsia" w:ascii="仿宋" w:hAnsi="仿宋" w:eastAsia="仿宋"/>
        </w:rPr>
        <w:t>有与住所相独立的固定经营场所，有指向明确且唯一性的门牌、地址或者方位表述，具备经营卷烟零售相适应的存储条件，经营场所内其它区域视为辅助经营场所，属监管范围。</w:t>
      </w:r>
    </w:p>
    <w:p>
      <w:pPr>
        <w:spacing w:line="560" w:lineRule="exact"/>
        <w:ind w:firstLine="640" w:firstLineChars="200"/>
        <w:jc w:val="left"/>
        <w:rPr>
          <w:rFonts w:ascii="仿宋" w:hAnsi="仿宋" w:eastAsia="仿宋"/>
        </w:rPr>
      </w:pPr>
      <w:r>
        <w:rPr>
          <w:rFonts w:hint="eastAsia" w:ascii="仿宋" w:hAnsi="仿宋" w:eastAsia="仿宋"/>
        </w:rPr>
        <w:t>申请人堆放烟草制品等相关货物的储藏室、仓库与经营门店相分离的，视为经营场所的附属仓库，属监管范围。</w:t>
      </w:r>
    </w:p>
    <w:p>
      <w:pPr>
        <w:spacing w:line="560" w:lineRule="exact"/>
        <w:ind w:firstLine="640" w:firstLineChars="200"/>
        <w:jc w:val="left"/>
        <w:rPr>
          <w:rFonts w:ascii="仿宋" w:hAnsi="仿宋" w:eastAsia="仿宋"/>
        </w:rPr>
      </w:pPr>
      <w:r>
        <w:rPr>
          <w:rFonts w:hint="eastAsia" w:ascii="仿宋" w:hAnsi="仿宋" w:eastAsia="仿宋"/>
        </w:rPr>
        <w:t>“与住所相独立”是指经营场所与生活区域相独立，可对消费者全开放（店铺处于完全开放状态，消费者和行政监管部门可不受限进出），不包含住宅公寓、办公场所、仓库、生活住所的车库、地下室、储藏室以及地面二层及以上未对消费者全开放的场所等。</w:t>
      </w:r>
    </w:p>
    <w:p>
      <w:pPr>
        <w:spacing w:line="560" w:lineRule="exact"/>
        <w:ind w:firstLine="640" w:firstLineChars="200"/>
        <w:jc w:val="left"/>
        <w:rPr>
          <w:rFonts w:ascii="仿宋" w:hAnsi="仿宋" w:eastAsia="仿宋"/>
        </w:rPr>
      </w:pPr>
      <w:r>
        <w:rPr>
          <w:rFonts w:hint="eastAsia" w:ascii="仿宋" w:hAnsi="仿宋" w:eastAsia="仿宋"/>
        </w:rPr>
        <w:t xml:space="preserve">“固定经营场所”由砖、木、钢、混等材料建成的封闭且不可移动、具备实物商品展示的经营设施、条件的场所，不包括流动摊点（车、棚）、简易搭盖、活动板房、违章建筑、临时建筑、待拆建筑、集装箱屋、报刊亭、电话亭、危房以及尚未竣工或未交付使用的场所等。    </w:t>
      </w:r>
    </w:p>
    <w:p>
      <w:pPr>
        <w:spacing w:line="560" w:lineRule="exact"/>
        <w:ind w:firstLine="640" w:firstLineChars="200"/>
        <w:jc w:val="left"/>
        <w:rPr>
          <w:rFonts w:ascii="仿宋" w:hAnsi="仿宋" w:eastAsia="仿宋"/>
        </w:rPr>
      </w:pPr>
      <w:r>
        <w:rPr>
          <w:rFonts w:hint="eastAsia" w:ascii="仿宋" w:hAnsi="仿宋" w:eastAsia="仿宋"/>
        </w:rPr>
        <w:t>“经营场所”指具备对外经营烟草制品的基本设施和条件，如店招、货架、柜台等，不包含无实际烟草制品展卖的场所。</w:t>
      </w:r>
    </w:p>
    <w:p>
      <w:pPr>
        <w:spacing w:line="560" w:lineRule="exact"/>
        <w:ind w:firstLine="640" w:firstLineChars="200"/>
        <w:rPr>
          <w:rFonts w:ascii="仿宋" w:hAnsi="仿宋" w:eastAsia="仿宋"/>
        </w:rPr>
      </w:pPr>
      <w:r>
        <w:rPr>
          <w:rFonts w:hint="eastAsia" w:ascii="仿宋" w:hAnsi="仿宋" w:eastAsia="仿宋"/>
        </w:rPr>
        <w:t>第十四条 本规定不溯及已合法持有烟草专卖零售许可证的零售户，但属于经营场所基于安全因素和幼儿园、中小学周边等特殊区域不予发放零售许可证情形的，许可证有效期届满后不予延续。</w:t>
      </w:r>
    </w:p>
    <w:p>
      <w:pPr>
        <w:spacing w:line="560" w:lineRule="exact"/>
        <w:ind w:firstLine="640" w:firstLineChars="200"/>
        <w:rPr>
          <w:rFonts w:ascii="仿宋" w:hAnsi="仿宋" w:eastAsia="仿宋"/>
        </w:rPr>
      </w:pPr>
      <w:r>
        <w:rPr>
          <w:rFonts w:hint="eastAsia" w:ascii="仿宋" w:hAnsi="仿宋" w:eastAsia="仿宋"/>
        </w:rPr>
        <w:t>第</w:t>
      </w:r>
      <w:r>
        <w:rPr>
          <w:rFonts w:ascii="仿宋" w:hAnsi="仿宋" w:eastAsia="仿宋"/>
        </w:rPr>
        <w:t>十</w:t>
      </w:r>
      <w:r>
        <w:rPr>
          <w:rFonts w:hint="eastAsia" w:ascii="仿宋" w:hAnsi="仿宋" w:eastAsia="仿宋"/>
        </w:rPr>
        <w:t>五</w:t>
      </w:r>
      <w:r>
        <w:rPr>
          <w:rFonts w:ascii="仿宋" w:hAnsi="仿宋" w:eastAsia="仿宋"/>
        </w:rPr>
        <w:t>条</w:t>
      </w:r>
      <w:r>
        <w:rPr>
          <w:rFonts w:hint="eastAsia" w:ascii="仿宋" w:hAnsi="仿宋" w:eastAsia="仿宋"/>
        </w:rPr>
        <w:t xml:space="preserve"> 本规定所称中、小学校为《烟草专卖许可证管理办法实施细则》第七十六条所规定的“普通中小学、特殊教育学校、中等职业学校、专门学校。”所称幼儿园为依法取得教育部门办园许可证的幼儿园。</w:t>
      </w:r>
    </w:p>
    <w:p>
      <w:pPr>
        <w:spacing w:line="560" w:lineRule="exact"/>
        <w:ind w:firstLine="640" w:firstLineChars="200"/>
        <w:rPr>
          <w:rFonts w:ascii="仿宋" w:hAnsi="仿宋" w:eastAsia="仿宋" w:cs="宋体"/>
          <w:kern w:val="0"/>
        </w:rPr>
      </w:pPr>
      <w:r>
        <w:rPr>
          <w:rFonts w:hint="eastAsia" w:ascii="仿宋" w:hAnsi="仿宋" w:eastAsia="仿宋"/>
        </w:rPr>
        <w:t xml:space="preserve">第十六条 </w:t>
      </w:r>
      <w:r>
        <w:rPr>
          <w:rFonts w:hint="eastAsia" w:ascii="仿宋" w:hAnsi="仿宋" w:eastAsia="仿宋" w:cs="宋体"/>
          <w:kern w:val="0"/>
        </w:rPr>
        <w:t>本规定中的便利店、超市、商场、娱乐服务等烟草零售业态的界定，严格按照国家烟草专卖局《烟草零售业态分类标准》(国烟法[2005]845号)文件执行。</w:t>
      </w:r>
    </w:p>
    <w:p>
      <w:pPr>
        <w:spacing w:line="560" w:lineRule="exact"/>
        <w:ind w:firstLine="640" w:firstLineChars="200"/>
        <w:rPr>
          <w:rFonts w:ascii="仿宋" w:hAnsi="仿宋" w:eastAsia="仿宋"/>
        </w:rPr>
      </w:pPr>
      <w:r>
        <w:rPr>
          <w:rFonts w:hint="eastAsia" w:ascii="仿宋" w:hAnsi="仿宋" w:eastAsia="仿宋"/>
        </w:rPr>
        <w:t>第十七条 本规定所称“以上”“以内”“不低于”“不少于”包括本数。</w:t>
      </w:r>
    </w:p>
    <w:p>
      <w:pPr>
        <w:spacing w:line="560" w:lineRule="exact"/>
        <w:ind w:firstLine="640" w:firstLineChars="200"/>
        <w:rPr>
          <w:rFonts w:hint="eastAsia" w:ascii="仿宋" w:hAnsi="仿宋" w:eastAsia="仿宋"/>
        </w:rPr>
      </w:pPr>
      <w:r>
        <w:rPr>
          <w:rFonts w:hint="eastAsia" w:ascii="仿宋" w:hAnsi="仿宋" w:eastAsia="仿宋"/>
        </w:rPr>
        <w:t>第十八条 本规定所称的“间隔距离”是指行人同侧、异侧、拐角等可通过的最短距离，按照消费者日常生活习惯并符合交通规则的通行线路进行测量，其起点至终点的距离为申请人主店面中间线到最近零售点的主店面中间线。申请人及利益相关方对间隔距离有异议的，可申请当地烟草专卖行政主管部门重新进行实地间距测量。测量时，申请人、利益相关方和烟草专卖管理人员必须同时在场。</w:t>
      </w:r>
    </w:p>
    <w:p>
      <w:pPr>
        <w:spacing w:line="560" w:lineRule="exact"/>
        <w:ind w:firstLine="640" w:firstLineChars="200"/>
        <w:rPr>
          <w:rFonts w:ascii="仿宋" w:hAnsi="仿宋" w:eastAsia="仿宋"/>
          <w:lang w:val="zh-CN"/>
        </w:rPr>
      </w:pPr>
      <w:r>
        <w:rPr>
          <w:rFonts w:hint="eastAsia" w:ascii="仿宋" w:hAnsi="仿宋" w:eastAsia="仿宋"/>
        </w:rPr>
        <w:t>第十九条 法律、法规、规章、地方人大、政府另有规定的，依据另有规定执行。</w:t>
      </w:r>
    </w:p>
    <w:p>
      <w:pPr>
        <w:spacing w:line="560" w:lineRule="exact"/>
        <w:ind w:firstLine="640"/>
      </w:pPr>
      <w:r>
        <w:rPr>
          <w:rFonts w:hint="eastAsia" w:ascii="仿宋" w:hAnsi="仿宋" w:eastAsia="仿宋"/>
          <w:lang w:val="zh-CN"/>
        </w:rPr>
        <w:t>第</w:t>
      </w:r>
      <w:r>
        <w:rPr>
          <w:rFonts w:hint="eastAsia" w:ascii="仿宋" w:hAnsi="仿宋" w:eastAsia="仿宋"/>
        </w:rPr>
        <w:t>二</w:t>
      </w:r>
      <w:r>
        <w:rPr>
          <w:rFonts w:hint="eastAsia" w:ascii="仿宋" w:hAnsi="仿宋" w:eastAsia="仿宋"/>
          <w:lang w:val="zh-CN"/>
        </w:rPr>
        <w:t>十条</w:t>
      </w:r>
      <w:r>
        <w:rPr>
          <w:rFonts w:hint="eastAsia" w:ascii="仿宋" w:hAnsi="仿宋" w:eastAsia="仿宋"/>
        </w:rPr>
        <w:t xml:space="preserve"> 本规定自</w:t>
      </w:r>
      <w:r>
        <w:rPr>
          <w:rFonts w:hint="eastAsia" w:ascii="仿宋" w:hAnsi="仿宋" w:eastAsia="仿宋"/>
          <w:lang w:val="en-US" w:eastAsia="zh-CN"/>
        </w:rPr>
        <w:t xml:space="preserve">  </w:t>
      </w:r>
      <w:r>
        <w:rPr>
          <w:rFonts w:hint="eastAsia" w:ascii="仿宋" w:hAnsi="仿宋" w:eastAsia="仿宋"/>
        </w:rPr>
        <w:t xml:space="preserve">年 </w:t>
      </w:r>
      <w:r>
        <w:rPr>
          <w:rFonts w:hint="eastAsia" w:ascii="仿宋" w:hAnsi="仿宋" w:eastAsia="仿宋"/>
          <w:lang w:val="en-US" w:eastAsia="zh-CN"/>
        </w:rPr>
        <w:t xml:space="preserve"> </w:t>
      </w:r>
      <w:r>
        <w:rPr>
          <w:rFonts w:hint="eastAsia" w:ascii="仿宋" w:hAnsi="仿宋" w:eastAsia="仿宋"/>
        </w:rPr>
        <w:t xml:space="preserve">月 </w:t>
      </w:r>
      <w:r>
        <w:rPr>
          <w:rFonts w:hint="eastAsia" w:ascii="仿宋" w:hAnsi="仿宋" w:eastAsia="仿宋"/>
          <w:lang w:val="en-US" w:eastAsia="zh-CN"/>
        </w:rPr>
        <w:t xml:space="preserve"> </w:t>
      </w:r>
      <w:bookmarkStart w:id="0" w:name="_GoBack"/>
      <w:bookmarkEnd w:id="0"/>
      <w:r>
        <w:rPr>
          <w:rFonts w:hint="eastAsia" w:ascii="仿宋" w:hAnsi="仿宋" w:eastAsia="仿宋"/>
        </w:rPr>
        <w:t>日起实施，</w:t>
      </w:r>
      <w:r>
        <w:rPr>
          <w:rFonts w:hint="eastAsia" w:ascii="仿宋" w:hAnsi="仿宋" w:eastAsia="仿宋"/>
          <w:kern w:val="0"/>
          <w:lang w:val="zh-CN"/>
        </w:rPr>
        <w:t>20</w:t>
      </w:r>
      <w:r>
        <w:rPr>
          <w:rFonts w:hint="eastAsia" w:ascii="仿宋" w:hAnsi="仿宋" w:eastAsia="仿宋"/>
          <w:kern w:val="0"/>
        </w:rPr>
        <w:t>21</w:t>
      </w:r>
      <w:r>
        <w:rPr>
          <w:rFonts w:hint="eastAsia" w:ascii="仿宋" w:hAnsi="仿宋" w:eastAsia="仿宋"/>
          <w:kern w:val="0"/>
          <w:lang w:val="zh-CN"/>
        </w:rPr>
        <w:t>年</w:t>
      </w:r>
      <w:r>
        <w:rPr>
          <w:rFonts w:hint="eastAsia" w:ascii="仿宋" w:hAnsi="仿宋" w:eastAsia="仿宋"/>
          <w:kern w:val="0"/>
        </w:rPr>
        <w:t>7</w:t>
      </w:r>
      <w:r>
        <w:rPr>
          <w:rFonts w:hint="eastAsia" w:ascii="仿宋" w:hAnsi="仿宋" w:eastAsia="仿宋"/>
          <w:kern w:val="0"/>
          <w:lang w:val="zh-CN"/>
        </w:rPr>
        <w:t>月</w:t>
      </w:r>
      <w:r>
        <w:rPr>
          <w:rFonts w:hint="eastAsia" w:ascii="仿宋" w:hAnsi="仿宋" w:eastAsia="仿宋"/>
          <w:kern w:val="0"/>
        </w:rPr>
        <w:t>8</w:t>
      </w:r>
      <w:r>
        <w:rPr>
          <w:rFonts w:hint="eastAsia" w:ascii="仿宋" w:hAnsi="仿宋" w:eastAsia="仿宋"/>
          <w:kern w:val="0"/>
          <w:lang w:val="zh-CN"/>
        </w:rPr>
        <w:t>日实施的《神木市</w:t>
      </w:r>
      <w:r>
        <w:rPr>
          <w:rFonts w:hint="eastAsia" w:ascii="仿宋" w:hAnsi="仿宋" w:eastAsia="仿宋"/>
          <w:kern w:val="0"/>
        </w:rPr>
        <w:t>烟草制品</w:t>
      </w:r>
      <w:r>
        <w:rPr>
          <w:rFonts w:hint="eastAsia" w:ascii="仿宋" w:hAnsi="仿宋" w:eastAsia="仿宋"/>
          <w:kern w:val="0"/>
          <w:lang w:val="zh-CN"/>
        </w:rPr>
        <w:t>零售点合理布局规定》同时废止</w:t>
      </w:r>
      <w:r>
        <w:rPr>
          <w:rFonts w:hint="eastAsia" w:ascii="仿宋" w:hAnsi="仿宋" w:eastAsia="仿宋"/>
          <w:lang w:val="zh-CN"/>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2312">
    <w:altName w:val="仿宋"/>
    <w:panose1 w:val="00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508992"/>
      <w:docPartObj>
        <w:docPartGallery w:val="AutoText"/>
      </w:docPartObj>
    </w:sdtPr>
    <w:sdtContent>
      <w:p>
        <w:pPr>
          <w:pStyle w:val="3"/>
          <w:jc w:val="right"/>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3ZWZiMTkyMGQ5YjAwZWExYjhjMmMyMDRhZTE1OTMifQ=="/>
  </w:docVars>
  <w:rsids>
    <w:rsidRoot w:val="00AC4145"/>
    <w:rsid w:val="00006F81"/>
    <w:rsid w:val="00044F2B"/>
    <w:rsid w:val="00054DEE"/>
    <w:rsid w:val="00056A6E"/>
    <w:rsid w:val="000612A7"/>
    <w:rsid w:val="000B570F"/>
    <w:rsid w:val="0010327E"/>
    <w:rsid w:val="00124683"/>
    <w:rsid w:val="001E0749"/>
    <w:rsid w:val="00232A8E"/>
    <w:rsid w:val="002455A4"/>
    <w:rsid w:val="002B632D"/>
    <w:rsid w:val="002C6859"/>
    <w:rsid w:val="00314077"/>
    <w:rsid w:val="003353F0"/>
    <w:rsid w:val="00397F64"/>
    <w:rsid w:val="003B4846"/>
    <w:rsid w:val="003C4090"/>
    <w:rsid w:val="003F77F6"/>
    <w:rsid w:val="00425243"/>
    <w:rsid w:val="00427927"/>
    <w:rsid w:val="00431ACE"/>
    <w:rsid w:val="00493288"/>
    <w:rsid w:val="00561AA0"/>
    <w:rsid w:val="005E7837"/>
    <w:rsid w:val="00600813"/>
    <w:rsid w:val="00606A47"/>
    <w:rsid w:val="0063772E"/>
    <w:rsid w:val="0064738B"/>
    <w:rsid w:val="006852E4"/>
    <w:rsid w:val="006B00D4"/>
    <w:rsid w:val="006C0B8C"/>
    <w:rsid w:val="00722485"/>
    <w:rsid w:val="00747653"/>
    <w:rsid w:val="007774EF"/>
    <w:rsid w:val="007D4729"/>
    <w:rsid w:val="007D7619"/>
    <w:rsid w:val="00800F0B"/>
    <w:rsid w:val="00842D8A"/>
    <w:rsid w:val="0085386E"/>
    <w:rsid w:val="00903949"/>
    <w:rsid w:val="00903EB4"/>
    <w:rsid w:val="00943942"/>
    <w:rsid w:val="009561BC"/>
    <w:rsid w:val="00961BFB"/>
    <w:rsid w:val="00996B47"/>
    <w:rsid w:val="009A6F9A"/>
    <w:rsid w:val="009B7F49"/>
    <w:rsid w:val="009D684C"/>
    <w:rsid w:val="00A268F6"/>
    <w:rsid w:val="00A3629C"/>
    <w:rsid w:val="00A8061E"/>
    <w:rsid w:val="00A92D7B"/>
    <w:rsid w:val="00AC4145"/>
    <w:rsid w:val="00AE213B"/>
    <w:rsid w:val="00B37CA2"/>
    <w:rsid w:val="00B6111D"/>
    <w:rsid w:val="00B86016"/>
    <w:rsid w:val="00C37292"/>
    <w:rsid w:val="00CF1117"/>
    <w:rsid w:val="00D024E8"/>
    <w:rsid w:val="00D12FDB"/>
    <w:rsid w:val="00D17DAD"/>
    <w:rsid w:val="00DE2001"/>
    <w:rsid w:val="00E7605C"/>
    <w:rsid w:val="00EC1FAE"/>
    <w:rsid w:val="00F15BF9"/>
    <w:rsid w:val="00F86E36"/>
    <w:rsid w:val="00FB6B1E"/>
    <w:rsid w:val="00FC6870"/>
    <w:rsid w:val="1ACA1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rFonts w:ascii="Times New Roman" w:hAnsi="Times New Roman" w:eastAsia="仿宋_GB2312" w:cs="Times New Roman"/>
      <w:sz w:val="18"/>
      <w:szCs w:val="18"/>
    </w:rPr>
  </w:style>
  <w:style w:type="character" w:customStyle="1" w:styleId="8">
    <w:name w:val="页脚 Char"/>
    <w:basedOn w:val="6"/>
    <w:link w:val="3"/>
    <w:qFormat/>
    <w:uiPriority w:val="99"/>
    <w:rPr>
      <w:rFonts w:ascii="Times New Roman" w:hAnsi="Times New Roman" w:eastAsia="仿宋_GB2312" w:cs="Times New Roman"/>
      <w:sz w:val="18"/>
      <w:szCs w:val="18"/>
    </w:rPr>
  </w:style>
  <w:style w:type="character" w:customStyle="1" w:styleId="9">
    <w:name w:val="批注框文本 Char"/>
    <w:basedOn w:val="6"/>
    <w:link w:val="2"/>
    <w:semiHidden/>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33F12-CD13-4656-97F3-477ED925CDB6}">
  <ds:schemaRefs/>
</ds:datastoreItem>
</file>

<file path=docProps/app.xml><?xml version="1.0" encoding="utf-8"?>
<Properties xmlns="http://schemas.openxmlformats.org/officeDocument/2006/extended-properties" xmlns:vt="http://schemas.openxmlformats.org/officeDocument/2006/docPropsVTypes">
  <Template>Normal</Template>
  <Company>http://www.deepbbs.org</Company>
  <Pages>1</Pages>
  <Words>712</Words>
  <Characters>4062</Characters>
  <Lines>33</Lines>
  <Paragraphs>9</Paragraphs>
  <TotalTime>9</TotalTime>
  <ScaleCrop>false</ScaleCrop>
  <LinksUpToDate>false</LinksUpToDate>
  <CharactersWithSpaces>4765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2023-09-13T08:29:00Z</dcterms:created>
  <dc:creator>noname</dc:creator>
  <cp:lastModifiedBy>  ➪    日能的男人</cp:lastModifiedBy>
  <cp:lastPrinted>2023-10-11T05:59:00Z</cp:lastPrinted>
  <dcterms:modified xsi:type="dcterms:W3CDTF">2023-10-12T07:33:20Z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92621932E96544ADBE127AACEACE7769_12</vt:lpwstr>
  </property>
</Properties>
</file>