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25323DC">
      <w:pPr>
        <w:spacing w:line="560" w:lineRule="exact"/>
        <w:rPr>
          <w:rFonts w:hint="eastAsia" w:ascii="国标仿宋" w:hAnsi="国标仿宋" w:eastAsia="国标仿宋" w:cs="国标仿宋"/>
          <w:color w:val="auto"/>
          <w:sz w:val="32"/>
          <w:szCs w:val="32"/>
          <w:lang w:val="en-US" w:eastAsia="zh-CN"/>
        </w:rPr>
      </w:pPr>
      <w:bookmarkStart w:id="0" w:name="_GoBack"/>
      <w:r>
        <w:rPr>
          <w:rFonts w:hint="eastAsia" w:ascii="国标仿宋" w:hAnsi="国标仿宋" w:eastAsia="国标仿宋" w:cs="国标仿宋"/>
          <w:color w:val="auto"/>
          <w:sz w:val="32"/>
          <w:szCs w:val="32"/>
        </w:rPr>
        <w:t>附件</w:t>
      </w:r>
      <w:r>
        <w:rPr>
          <w:rFonts w:hint="eastAsia" w:ascii="国标仿宋" w:hAnsi="国标仿宋" w:eastAsia="国标仿宋" w:cs="国标仿宋"/>
          <w:color w:val="auto"/>
          <w:sz w:val="32"/>
          <w:szCs w:val="32"/>
          <w:lang w:val="en-US" w:eastAsia="zh-CN"/>
        </w:rPr>
        <w:t>4</w:t>
      </w:r>
    </w:p>
    <w:p w14:paraId="06BBF1E1">
      <w:pPr>
        <w:spacing w:line="700" w:lineRule="exact"/>
        <w:jc w:val="center"/>
        <w:rPr>
          <w:rFonts w:hint="eastAsia" w:ascii="国标仿宋" w:hAnsi="国标仿宋" w:eastAsia="国标仿宋" w:cs="国标仿宋"/>
          <w:color w:val="auto"/>
          <w:spacing w:val="-12"/>
          <w:sz w:val="32"/>
          <w:szCs w:val="32"/>
        </w:rPr>
      </w:pPr>
      <w:r>
        <w:rPr>
          <w:rFonts w:hint="eastAsia" w:ascii="国标仿宋" w:hAnsi="国标仿宋" w:eastAsia="国标仿宋" w:cs="国标仿宋"/>
          <w:color w:val="auto"/>
          <w:spacing w:val="-12"/>
          <w:sz w:val="32"/>
          <w:szCs w:val="32"/>
        </w:rPr>
        <w:t>关于部分检验项目的说明</w:t>
      </w:r>
    </w:p>
    <w:p w14:paraId="00A73BDF">
      <w:pPr>
        <w:rPr>
          <w:rFonts w:hint="eastAsia" w:ascii="国标仿宋" w:hAnsi="国标仿宋" w:eastAsia="国标仿宋" w:cs="国标仿宋"/>
          <w:color w:val="auto"/>
          <w:sz w:val="32"/>
          <w:szCs w:val="32"/>
        </w:rPr>
      </w:pPr>
    </w:p>
    <w:p w14:paraId="1CECA368">
      <w:pPr>
        <w:numPr>
          <w:ilvl w:val="0"/>
          <w:numId w:val="0"/>
        </w:numPr>
        <w:bidi w:val="0"/>
        <w:ind w:firstLine="640" w:firstLineChars="200"/>
        <w:rPr>
          <w:rFonts w:hint="eastAsia" w:ascii="国标仿宋" w:hAnsi="国标仿宋" w:eastAsia="国标仿宋" w:cs="国标仿宋"/>
          <w:b w:val="0"/>
          <w:bCs w:val="0"/>
          <w:color w:val="auto"/>
          <w:kern w:val="2"/>
          <w:sz w:val="32"/>
          <w:szCs w:val="32"/>
          <w:lang w:val="en-US" w:eastAsia="zh-CN" w:bidi="ar-SA"/>
        </w:rPr>
      </w:pPr>
      <w:r>
        <w:rPr>
          <w:rFonts w:hint="eastAsia" w:ascii="国标仿宋" w:hAnsi="国标仿宋" w:eastAsia="国标仿宋" w:cs="国标仿宋"/>
          <w:b w:val="0"/>
          <w:bCs w:val="0"/>
          <w:color w:val="auto"/>
          <w:sz w:val="32"/>
          <w:szCs w:val="32"/>
          <w:lang w:val="en-US" w:eastAsia="zh-CN"/>
        </w:rPr>
        <w:t>一、苯甲酸及其钠盐(以苯甲酸计)</w:t>
      </w:r>
    </w:p>
    <w:p w14:paraId="27A3BF46">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textAlignment w:val="auto"/>
        <w:rPr>
          <w:rFonts w:hint="eastAsia" w:ascii="国标仿宋" w:hAnsi="国标仿宋" w:eastAsia="国标仿宋" w:cs="国标仿宋"/>
          <w:color w:val="auto"/>
          <w:kern w:val="2"/>
          <w:sz w:val="32"/>
          <w:szCs w:val="32"/>
          <w:lang w:val="en-US" w:eastAsia="zh-CN" w:bidi="ar-SA"/>
        </w:rPr>
      </w:pPr>
      <w:r>
        <w:rPr>
          <w:rFonts w:hint="eastAsia" w:ascii="国标仿宋" w:hAnsi="国标仿宋" w:eastAsia="国标仿宋" w:cs="国标仿宋"/>
          <w:color w:val="auto"/>
          <w:kern w:val="2"/>
          <w:sz w:val="32"/>
          <w:szCs w:val="32"/>
          <w:lang w:val="en-US" w:eastAsia="zh-CN" w:bidi="ar-SA"/>
        </w:rPr>
        <w:t>苯甲酸及其钠盐(以苯甲酸计)是是常见的食品添加剂，若是体内含有少量的苯甲酸对人体无毒害，可随尿液排出体外，在人体内不会蓄积，若长期过量食入苯甲酸超标的食品可能会对肝脏功能产生一定影响，甚至引起肝脏积累性中毒，危害肝脏健康；根据《食品添加剂使用卫生标准》（GB</w:t>
      </w:r>
      <w:r>
        <w:rPr>
          <w:rFonts w:hint="eastAsia" w:ascii="国标仿宋" w:hAnsi="国标仿宋" w:eastAsia="国标仿宋" w:cs="国标仿宋"/>
          <w:color w:val="auto"/>
          <w:kern w:val="2"/>
          <w:sz w:val="32"/>
          <w:szCs w:val="32"/>
          <w:lang w:val="en-US" w:eastAsia="zh-CN" w:bidi="ar-SA"/>
        </w:rPr>
        <w:t xml:space="preserve"> </w:t>
      </w:r>
      <w:r>
        <w:rPr>
          <w:rFonts w:hint="eastAsia" w:ascii="国标仿宋" w:hAnsi="国标仿宋" w:eastAsia="国标仿宋" w:cs="国标仿宋"/>
          <w:color w:val="auto"/>
          <w:kern w:val="2"/>
          <w:sz w:val="32"/>
          <w:szCs w:val="32"/>
          <w:lang w:val="en-US" w:eastAsia="zh-CN" w:bidi="ar-SA"/>
        </w:rPr>
        <w:t>2760-2014）规定，苯甲酸及其钠盐(以苯甲酸计)在粮食加工品中不得使用，如果长期使用食品中含有苯甲酸及其钠盐(以苯甲酸计)会导致肝脏功能受损：严重情况下甚至会引起肝脏积累性中毒。因为肝脏需要不断地处理这些外来的化学物质，长时间的超负荷工作可能使肝脏细胞的正常代谢功能紊乱；对对胃肠道的刺激：胃黏膜造成损害，可能引起恶心、呕吐、腹痛等不适症状；或者对人体酸碱平衡和新陈代谢的潜在影响，长期过量摄入可能会影响人体的酸碱平衡。</w:t>
      </w:r>
    </w:p>
    <w:p w14:paraId="342E3955">
      <w:pPr>
        <w:numPr>
          <w:ilvl w:val="0"/>
          <w:numId w:val="0"/>
        </w:numPr>
        <w:bidi w:val="0"/>
        <w:ind w:firstLine="640" w:firstLineChars="200"/>
        <w:rPr>
          <w:rFonts w:hint="eastAsia" w:ascii="国标仿宋" w:hAnsi="国标仿宋" w:eastAsia="国标仿宋" w:cs="国标仿宋"/>
          <w:b w:val="0"/>
          <w:bCs w:val="0"/>
          <w:color w:val="auto"/>
          <w:kern w:val="2"/>
          <w:sz w:val="32"/>
          <w:szCs w:val="32"/>
          <w:lang w:val="en-US" w:eastAsia="zh-CN" w:bidi="ar-SA"/>
        </w:rPr>
      </w:pPr>
      <w:r>
        <w:rPr>
          <w:rFonts w:hint="eastAsia" w:ascii="国标仿宋" w:hAnsi="国标仿宋" w:eastAsia="国标仿宋" w:cs="国标仿宋"/>
          <w:b w:val="0"/>
          <w:bCs w:val="0"/>
          <w:color w:val="auto"/>
          <w:sz w:val="32"/>
          <w:szCs w:val="32"/>
          <w:lang w:val="en-US" w:eastAsia="zh-CN"/>
        </w:rPr>
        <w:t>二、氟虫腈</w:t>
      </w:r>
    </w:p>
    <w:p w14:paraId="3DB38359">
      <w:pPr>
        <w:pStyle w:val="8"/>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640" w:firstLineChars="200"/>
        <w:textAlignment w:val="auto"/>
        <w:rPr>
          <w:rFonts w:hint="eastAsia" w:ascii="国标仿宋" w:hAnsi="国标仿宋" w:eastAsia="国标仿宋" w:cs="国标仿宋"/>
          <w:color w:val="auto"/>
          <w:kern w:val="2"/>
          <w:sz w:val="32"/>
          <w:szCs w:val="32"/>
          <w:lang w:val="en-US" w:eastAsia="zh-CN" w:bidi="ar-SA"/>
        </w:rPr>
      </w:pPr>
      <w:r>
        <w:rPr>
          <w:rFonts w:hint="eastAsia" w:ascii="国标仿宋" w:hAnsi="国标仿宋" w:eastAsia="国标仿宋" w:cs="国标仿宋"/>
          <w:color w:val="auto"/>
          <w:kern w:val="2"/>
          <w:sz w:val="32"/>
          <w:szCs w:val="32"/>
          <w:lang w:val="en-US" w:eastAsia="zh-CN" w:bidi="ar-SA"/>
        </w:rPr>
        <w:t>氟虫腈是一种苯基吡唑类杀虫剂，主要用于胃毒作用，兼有触杀和一定的内吸作用；《食品安全国家标准食品中农药最大残留限量》（GB</w:t>
      </w:r>
      <w:r>
        <w:rPr>
          <w:rFonts w:hint="eastAsia" w:ascii="国标仿宋" w:hAnsi="国标仿宋" w:eastAsia="国标仿宋" w:cs="国标仿宋"/>
          <w:color w:val="auto"/>
          <w:kern w:val="2"/>
          <w:sz w:val="32"/>
          <w:szCs w:val="32"/>
          <w:lang w:val="en-US" w:eastAsia="zh-CN" w:bidi="ar-SA"/>
        </w:rPr>
        <w:t xml:space="preserve"> </w:t>
      </w:r>
      <w:r>
        <w:rPr>
          <w:rFonts w:hint="eastAsia" w:ascii="国标仿宋" w:hAnsi="国标仿宋" w:eastAsia="国标仿宋" w:cs="国标仿宋"/>
          <w:color w:val="auto"/>
          <w:kern w:val="2"/>
          <w:sz w:val="32"/>
          <w:szCs w:val="32"/>
          <w:lang w:val="en-US" w:eastAsia="zh-CN" w:bidi="ar-SA"/>
        </w:rPr>
        <w:t>2763</w:t>
      </w:r>
      <w:r>
        <w:rPr>
          <w:rFonts w:hint="eastAsia" w:ascii="国标仿宋" w:hAnsi="国标仿宋" w:eastAsia="国标仿宋" w:cs="国标仿宋"/>
          <w:color w:val="auto"/>
          <w:kern w:val="2"/>
          <w:sz w:val="32"/>
          <w:szCs w:val="32"/>
          <w:lang w:val="en-US" w:eastAsia="zh-CN" w:bidi="ar-SA"/>
        </w:rPr>
        <w:t>-</w:t>
      </w:r>
      <w:r>
        <w:rPr>
          <w:rFonts w:hint="eastAsia" w:ascii="国标仿宋" w:hAnsi="国标仿宋" w:eastAsia="国标仿宋" w:cs="国标仿宋"/>
          <w:color w:val="auto"/>
          <w:kern w:val="2"/>
          <w:sz w:val="32"/>
          <w:szCs w:val="32"/>
          <w:lang w:val="en-US" w:eastAsia="zh-CN" w:bidi="ar-SA"/>
        </w:rPr>
        <w:t>2021）中规定，氟虫腈在胡萝卜中的的最大残留限量为0.02mg/kg，胡萝卜中氟虫腈残留量超标的主要原因包括菜农对农药使用安全间隔期不了解、违规使用或滥用农药，以及喷洒农药配比含量过高、喷洒后雨水淋洗时间短、降解周期未到及采摘周期短等因素</w:t>
      </w:r>
      <w:r>
        <w:rPr>
          <w:rFonts w:hint="eastAsia" w:ascii="国标仿宋" w:hAnsi="国标仿宋" w:eastAsia="国标仿宋" w:cs="国标仿宋"/>
          <w:color w:val="auto"/>
          <w:kern w:val="2"/>
          <w:sz w:val="32"/>
          <w:szCs w:val="32"/>
          <w:lang w:val="en-US" w:eastAsia="zh-CN" w:bidi="ar-SA"/>
        </w:rPr>
        <w:t>；</w:t>
      </w:r>
      <w:r>
        <w:rPr>
          <w:rFonts w:hint="eastAsia" w:ascii="国标仿宋" w:hAnsi="国标仿宋" w:eastAsia="国标仿宋" w:cs="国标仿宋"/>
          <w:color w:val="auto"/>
          <w:kern w:val="2"/>
          <w:sz w:val="32"/>
          <w:szCs w:val="32"/>
          <w:lang w:val="en-US" w:eastAsia="zh-CN" w:bidi="ar-SA"/>
        </w:rPr>
        <w:t>如果长期</w:t>
      </w:r>
      <w:r>
        <w:rPr>
          <w:rFonts w:hint="eastAsia" w:ascii="国标仿宋" w:hAnsi="国标仿宋" w:eastAsia="国标仿宋" w:cs="国标仿宋"/>
          <w:color w:val="auto"/>
          <w:kern w:val="2"/>
          <w:sz w:val="32"/>
          <w:szCs w:val="32"/>
          <w:lang w:val="en-US" w:eastAsia="zh-CN" w:bidi="ar-SA"/>
        </w:rPr>
        <w:t>食用</w:t>
      </w:r>
      <w:r>
        <w:rPr>
          <w:rFonts w:hint="eastAsia" w:ascii="国标仿宋" w:hAnsi="国标仿宋" w:eastAsia="国标仿宋" w:cs="国标仿宋"/>
          <w:color w:val="auto"/>
          <w:kern w:val="2"/>
          <w:sz w:val="32"/>
          <w:szCs w:val="32"/>
          <w:lang w:val="en-US" w:eastAsia="zh-CN" w:bidi="ar-SA"/>
        </w:rPr>
        <w:t>氟虫腈超标的胡萝卜会出现：初期可能会出现感觉异常，随着时间的推移，可能会发展为更严重的神经系统症状，如肢体协调性下降，表现为走路不稳、手部精细动作困难，像写字、扣纽扣等动作变得笨拙；长期食用可能导致胃肠道出现问题：如食欲减退，看到食物没有胃口，还可能出现消化不良的症状，如进食后腹部胀满不适、打嗝、嗳气等；对免疫功能受损：容易患上感冒、流感等常见的感染性疾病，而且患病后的恢复时间可能会比正常情况更长；对肝肾损伤潜在风险：长期的过量摄入可能会导致肝肾功能指标出现异常</w:t>
      </w:r>
      <w:r>
        <w:rPr>
          <w:rFonts w:hint="eastAsia" w:ascii="国标仿宋" w:hAnsi="国标仿宋" w:eastAsia="国标仿宋" w:cs="国标仿宋"/>
          <w:color w:val="auto"/>
          <w:kern w:val="2"/>
          <w:sz w:val="32"/>
          <w:szCs w:val="32"/>
          <w:lang w:val="en-US" w:eastAsia="zh-CN" w:bidi="ar-SA"/>
        </w:rPr>
        <w:t>。</w:t>
      </w:r>
    </w:p>
    <w:p w14:paraId="78184970">
      <w:pPr>
        <w:numPr>
          <w:ilvl w:val="0"/>
          <w:numId w:val="0"/>
        </w:numPr>
        <w:bidi w:val="0"/>
        <w:ind w:firstLine="640" w:firstLineChars="200"/>
        <w:rPr>
          <w:rFonts w:hint="eastAsia" w:ascii="国标仿宋" w:hAnsi="国标仿宋" w:eastAsia="国标仿宋" w:cs="国标仿宋"/>
          <w:b w:val="0"/>
          <w:bCs w:val="0"/>
          <w:color w:val="auto"/>
          <w:sz w:val="32"/>
          <w:szCs w:val="32"/>
          <w:lang w:val="en-US" w:eastAsia="zh-CN"/>
        </w:rPr>
      </w:pPr>
      <w:r>
        <w:rPr>
          <w:rFonts w:hint="eastAsia" w:ascii="国标仿宋" w:hAnsi="国标仿宋" w:eastAsia="国标仿宋" w:cs="国标仿宋"/>
          <w:b w:val="0"/>
          <w:bCs w:val="0"/>
          <w:color w:val="auto"/>
          <w:sz w:val="32"/>
          <w:szCs w:val="32"/>
          <w:lang w:val="en-US" w:eastAsia="zh-CN"/>
        </w:rPr>
        <w:t>三、腐霉利</w:t>
      </w:r>
    </w:p>
    <w:p w14:paraId="38C5EFFC">
      <w:pPr>
        <w:shd w:val="clear"/>
        <w:spacing w:line="594" w:lineRule="exact"/>
        <w:ind w:firstLine="640" w:firstLineChars="200"/>
        <w:rPr>
          <w:rFonts w:hint="eastAsia" w:ascii="国标仿宋" w:hAnsi="国标仿宋" w:eastAsia="国标仿宋" w:cs="国标仿宋"/>
          <w:sz w:val="32"/>
          <w:szCs w:val="32"/>
          <w:highlight w:val="none"/>
        </w:rPr>
      </w:pPr>
      <w:r>
        <w:rPr>
          <w:rFonts w:hint="eastAsia" w:ascii="国标仿宋" w:hAnsi="国标仿宋" w:eastAsia="国标仿宋" w:cs="国标仿宋"/>
          <w:sz w:val="32"/>
          <w:szCs w:val="32"/>
          <w:highlight w:val="none"/>
        </w:rPr>
        <w:t>腐霉利是一种低毒内吸性杀菌剂，具有保护和治疗双重作用。主要用于蔬菜及果树的灰霉病防治。《食品安全国家标准 食品中农药最大残留限量》（</w:t>
      </w:r>
      <w:r>
        <w:rPr>
          <w:rFonts w:hint="eastAsia" w:ascii="国标仿宋" w:hAnsi="国标仿宋" w:eastAsia="国标仿宋" w:cs="国标仿宋"/>
          <w:sz w:val="32"/>
          <w:szCs w:val="32"/>
          <w:highlight w:val="none"/>
        </w:rPr>
        <w:t>GB 2763.1-2022</w:t>
      </w:r>
      <w:r>
        <w:rPr>
          <w:rFonts w:hint="eastAsia" w:ascii="国标仿宋" w:hAnsi="国标仿宋" w:eastAsia="国标仿宋" w:cs="国标仿宋"/>
          <w:sz w:val="32"/>
          <w:szCs w:val="32"/>
          <w:highlight w:val="none"/>
        </w:rPr>
        <w:t>）中规定，腐霉利在韭菜中的最大残留限量</w:t>
      </w:r>
      <w:r>
        <w:rPr>
          <w:rFonts w:hint="eastAsia" w:ascii="国标仿宋" w:hAnsi="国标仿宋" w:eastAsia="国标仿宋" w:cs="国标仿宋"/>
          <w:sz w:val="32"/>
          <w:szCs w:val="32"/>
          <w:highlight w:val="none"/>
        </w:rPr>
        <w:t>值</w:t>
      </w:r>
      <w:r>
        <w:rPr>
          <w:rFonts w:hint="eastAsia" w:ascii="国标仿宋" w:hAnsi="国标仿宋" w:eastAsia="国标仿宋" w:cs="国标仿宋"/>
          <w:sz w:val="32"/>
          <w:szCs w:val="32"/>
          <w:highlight w:val="none"/>
        </w:rPr>
        <w:t>为</w:t>
      </w:r>
      <w:r>
        <w:rPr>
          <w:rFonts w:hint="eastAsia" w:ascii="国标仿宋" w:hAnsi="国标仿宋" w:eastAsia="国标仿宋" w:cs="国标仿宋"/>
          <w:sz w:val="32"/>
          <w:szCs w:val="32"/>
          <w:highlight w:val="none"/>
          <w:lang w:val="en-US" w:eastAsia="zh-CN"/>
        </w:rPr>
        <w:t>5</w:t>
      </w:r>
      <w:r>
        <w:rPr>
          <w:rFonts w:hint="eastAsia" w:ascii="国标仿宋" w:hAnsi="国标仿宋" w:eastAsia="国标仿宋" w:cs="国标仿宋"/>
          <w:sz w:val="32"/>
          <w:szCs w:val="32"/>
          <w:highlight w:val="none"/>
        </w:rPr>
        <w:t>mg/kg。韭菜中腐霉利超标的原因，可能是菜农</w:t>
      </w:r>
      <w:r>
        <w:rPr>
          <w:rFonts w:hint="eastAsia" w:ascii="国标仿宋" w:hAnsi="国标仿宋" w:eastAsia="国标仿宋" w:cs="国标仿宋"/>
          <w:sz w:val="32"/>
          <w:szCs w:val="32"/>
          <w:highlight w:val="none"/>
        </w:rPr>
        <w:t>对</w:t>
      </w:r>
      <w:r>
        <w:rPr>
          <w:rFonts w:hint="eastAsia" w:ascii="国标仿宋" w:hAnsi="国标仿宋" w:eastAsia="国标仿宋" w:cs="国标仿宋"/>
          <w:sz w:val="32"/>
          <w:szCs w:val="32"/>
          <w:highlight w:val="none"/>
        </w:rPr>
        <w:t>使用农药的安全间隔期不了解违规使用或滥用农药。</w:t>
      </w:r>
    </w:p>
    <w:p w14:paraId="75442C48">
      <w:pPr>
        <w:numPr>
          <w:ilvl w:val="0"/>
          <w:numId w:val="0"/>
        </w:numPr>
        <w:bidi w:val="0"/>
        <w:ind w:firstLine="640" w:firstLineChars="200"/>
        <w:rPr>
          <w:rFonts w:hint="eastAsia" w:ascii="国标仿宋" w:hAnsi="国标仿宋" w:eastAsia="国标仿宋" w:cs="国标仿宋"/>
          <w:b w:val="0"/>
          <w:bCs w:val="0"/>
          <w:color w:val="auto"/>
          <w:sz w:val="32"/>
          <w:szCs w:val="32"/>
          <w:lang w:val="en-US" w:eastAsia="zh-CN"/>
        </w:rPr>
      </w:pPr>
      <w:r>
        <w:rPr>
          <w:rFonts w:hint="eastAsia" w:ascii="国标仿宋" w:hAnsi="国标仿宋" w:eastAsia="国标仿宋" w:cs="国标仿宋"/>
          <w:b w:val="0"/>
          <w:bCs w:val="0"/>
          <w:color w:val="auto"/>
          <w:sz w:val="32"/>
          <w:szCs w:val="32"/>
          <w:lang w:val="en-US" w:eastAsia="zh-CN"/>
        </w:rPr>
        <w:t>四、亚硝酸盐(以NO₂⁻计)</w:t>
      </w:r>
    </w:p>
    <w:p w14:paraId="37999DEB">
      <w:pPr>
        <w:pStyle w:val="2"/>
        <w:keepNext w:val="0"/>
        <w:keepLines w:val="0"/>
        <w:pageBreakBefore w:val="0"/>
        <w:widowControl w:val="0"/>
        <w:kinsoku/>
        <w:wordWrap/>
        <w:overflowPunct/>
        <w:topLinePunct w:val="0"/>
        <w:autoSpaceDE/>
        <w:autoSpaceDN/>
        <w:bidi w:val="0"/>
        <w:adjustRightInd/>
        <w:snapToGrid/>
        <w:spacing w:after="0"/>
        <w:ind w:left="0" w:leftChars="0"/>
        <w:textAlignment w:val="auto"/>
        <w:rPr>
          <w:rFonts w:hint="eastAsia" w:ascii="国标仿宋" w:hAnsi="国标仿宋" w:eastAsia="国标仿宋" w:cs="国标仿宋"/>
          <w:sz w:val="32"/>
          <w:szCs w:val="32"/>
          <w:lang w:val="en-US" w:eastAsia="zh-CN"/>
        </w:rPr>
      </w:pPr>
      <w:r>
        <w:rPr>
          <w:rFonts w:hint="eastAsia" w:ascii="国标仿宋" w:hAnsi="国标仿宋" w:eastAsia="国标仿宋" w:cs="国标仿宋"/>
          <w:color w:val="000000"/>
          <w:kern w:val="2"/>
          <w:sz w:val="32"/>
          <w:szCs w:val="32"/>
          <w:highlight w:val="none"/>
          <w:lang w:val="en-US" w:eastAsia="zh-CN" w:bidi="ar-SA"/>
        </w:rPr>
        <w:t>亚硝酸盐能一定程度上反映水体被污染的情况。《食品安全国家标准 食品中污染物限量》（GB 2762-2022）中规定，亚硝酸盐在其他类饮用水中最大限量值为0.005mg/L（以NO</w:t>
      </w:r>
      <w:r>
        <w:rPr>
          <w:rFonts w:hint="eastAsia" w:ascii="国标仿宋" w:hAnsi="国标仿宋" w:eastAsia="国标仿宋" w:cs="国标仿宋"/>
          <w:color w:val="000000"/>
          <w:kern w:val="2"/>
          <w:sz w:val="32"/>
          <w:szCs w:val="32"/>
          <w:highlight w:val="none"/>
          <w:vertAlign w:val="subscript"/>
          <w:lang w:val="en-US" w:eastAsia="zh-CN" w:bidi="ar-SA"/>
        </w:rPr>
        <w:t>2</w:t>
      </w:r>
      <w:r>
        <w:rPr>
          <w:rFonts w:hint="eastAsia" w:ascii="国标仿宋" w:hAnsi="国标仿宋" w:eastAsia="国标仿宋" w:cs="国标仿宋"/>
          <w:color w:val="000000"/>
          <w:kern w:val="2"/>
          <w:sz w:val="32"/>
          <w:szCs w:val="32"/>
          <w:highlight w:val="none"/>
          <w:vertAlign w:val="superscript"/>
          <w:lang w:val="en-US" w:eastAsia="zh-CN" w:bidi="ar-SA"/>
        </w:rPr>
        <w:t>-</w:t>
      </w:r>
      <w:r>
        <w:rPr>
          <w:rFonts w:hint="eastAsia" w:ascii="国标仿宋" w:hAnsi="国标仿宋" w:eastAsia="国标仿宋" w:cs="国标仿宋"/>
          <w:color w:val="000000"/>
          <w:kern w:val="2"/>
          <w:sz w:val="32"/>
          <w:szCs w:val="32"/>
          <w:highlight w:val="none"/>
          <w:lang w:val="en-US" w:eastAsia="zh-CN" w:bidi="ar-SA"/>
        </w:rPr>
        <w:t>计）。水中的亚硝酸盐可由硝酸盐转化而来，硝酸盐有天然来源和人为来源，水体被细菌污染后，在一定温度下细菌会释放出硝酸盐还原酶，将水中的硝酸盐还原成亚硝酸盐，另外如果消毒控制不当，也会导致输水系统中亚硝酸盐浓度升高。</w:t>
      </w:r>
    </w:p>
    <w:p w14:paraId="7D30D141">
      <w:pPr>
        <w:numPr>
          <w:ilvl w:val="0"/>
          <w:numId w:val="0"/>
        </w:numPr>
        <w:bidi w:val="0"/>
        <w:ind w:firstLine="640" w:firstLineChars="200"/>
        <w:rPr>
          <w:rFonts w:hint="eastAsia" w:ascii="国标仿宋" w:hAnsi="国标仿宋" w:eastAsia="国标仿宋" w:cs="国标仿宋"/>
          <w:b w:val="0"/>
          <w:bCs w:val="0"/>
          <w:color w:val="auto"/>
          <w:sz w:val="32"/>
          <w:szCs w:val="32"/>
          <w:lang w:val="en-US" w:eastAsia="zh-CN"/>
        </w:rPr>
      </w:pPr>
      <w:r>
        <w:rPr>
          <w:rFonts w:hint="eastAsia" w:ascii="国标仿宋" w:hAnsi="国标仿宋" w:eastAsia="国标仿宋" w:cs="国标仿宋"/>
          <w:b w:val="0"/>
          <w:bCs w:val="0"/>
          <w:color w:val="auto"/>
          <w:sz w:val="32"/>
          <w:szCs w:val="32"/>
          <w:lang w:val="en-US" w:eastAsia="zh-CN"/>
        </w:rPr>
        <w:t>五、铜绿假单胞菌</w:t>
      </w:r>
    </w:p>
    <w:p w14:paraId="7FC95065">
      <w:pPr>
        <w:pStyle w:val="12"/>
        <w:shd w:val="clear"/>
        <w:spacing w:line="594" w:lineRule="exact"/>
        <w:ind w:firstLine="640"/>
        <w:rPr>
          <w:rFonts w:hint="eastAsia" w:ascii="国标仿宋" w:hAnsi="国标仿宋" w:eastAsia="国标仿宋" w:cs="国标仿宋"/>
          <w:sz w:val="32"/>
          <w:szCs w:val="32"/>
          <w:highlight w:val="none"/>
        </w:rPr>
      </w:pPr>
      <w:r>
        <w:rPr>
          <w:rFonts w:hint="eastAsia" w:ascii="国标仿宋" w:hAnsi="国标仿宋" w:eastAsia="国标仿宋" w:cs="国标仿宋"/>
          <w:kern w:val="2"/>
          <w:sz w:val="32"/>
          <w:szCs w:val="32"/>
          <w:highlight w:val="none"/>
          <w:lang w:val="en-US" w:eastAsia="zh-CN" w:bidi="ar-SA"/>
        </w:rPr>
        <w:t>铜绿假单胞菌是一种条件致病菌，广泛分布于水、空气、正常人的皮肤、呼吸道和肠道等，易在潮湿的环境存活，对消毒剂、紫外线等具有较强的抵抗力。铜绿假单胞菌对于</w:t>
      </w:r>
      <w:r>
        <w:rPr>
          <w:rFonts w:hint="eastAsia" w:ascii="国标仿宋" w:hAnsi="国标仿宋" w:eastAsia="国标仿宋" w:cs="国标仿宋"/>
          <w:kern w:val="2"/>
          <w:sz w:val="32"/>
          <w:szCs w:val="32"/>
          <w:highlight w:val="none"/>
          <w:lang w:val="en-US" w:eastAsia="zh-CN" w:bidi="ar-SA"/>
        </w:rPr>
        <w:t>免疫</w:t>
      </w:r>
      <w:r>
        <w:rPr>
          <w:rFonts w:hint="eastAsia" w:ascii="国标仿宋" w:hAnsi="国标仿宋" w:eastAsia="国标仿宋" w:cs="国标仿宋"/>
          <w:kern w:val="2"/>
          <w:sz w:val="32"/>
          <w:szCs w:val="32"/>
          <w:highlight w:val="none"/>
          <w:lang w:val="en-US" w:eastAsia="zh-CN" w:bidi="ar-SA"/>
        </w:rPr>
        <w:t>力较弱的人群健康风险</w:t>
      </w:r>
      <w:r>
        <w:rPr>
          <w:rFonts w:hint="eastAsia" w:ascii="国标仿宋" w:hAnsi="国标仿宋" w:eastAsia="国标仿宋" w:cs="国标仿宋"/>
          <w:kern w:val="2"/>
          <w:sz w:val="32"/>
          <w:szCs w:val="32"/>
          <w:highlight w:val="none"/>
          <w:lang w:val="en-US" w:eastAsia="zh-CN" w:bidi="ar-SA"/>
        </w:rPr>
        <w:t>较大</w:t>
      </w:r>
      <w:r>
        <w:rPr>
          <w:rFonts w:hint="eastAsia" w:ascii="国标仿宋" w:hAnsi="国标仿宋" w:eastAsia="国标仿宋" w:cs="国标仿宋"/>
          <w:kern w:val="2"/>
          <w:sz w:val="32"/>
          <w:szCs w:val="32"/>
          <w:highlight w:val="none"/>
          <w:lang w:val="en-US" w:eastAsia="zh-CN" w:bidi="ar-SA"/>
        </w:rPr>
        <w:t>。</w:t>
      </w:r>
      <w:r>
        <w:rPr>
          <w:rFonts w:hint="eastAsia" w:ascii="国标仿宋" w:hAnsi="国标仿宋" w:eastAsia="国标仿宋" w:cs="国标仿宋"/>
          <w:kern w:val="2"/>
          <w:sz w:val="32"/>
          <w:szCs w:val="32"/>
          <w:highlight w:val="none"/>
          <w:lang w:val="en-US" w:eastAsia="zh-CN" w:bidi="ar-SA"/>
        </w:rPr>
        <w:t>《</w:t>
      </w:r>
      <w:r>
        <w:rPr>
          <w:rFonts w:hint="eastAsia" w:ascii="国标仿宋" w:hAnsi="国标仿宋" w:eastAsia="国标仿宋" w:cs="国标仿宋"/>
          <w:kern w:val="2"/>
          <w:sz w:val="32"/>
          <w:szCs w:val="32"/>
          <w:highlight w:val="none"/>
          <w:lang w:val="en-US" w:eastAsia="zh-CN" w:bidi="ar-SA"/>
        </w:rPr>
        <w:t>食品安全国家标准</w:t>
      </w:r>
      <w:r>
        <w:rPr>
          <w:rFonts w:hint="eastAsia" w:ascii="国标仿宋" w:hAnsi="国标仿宋" w:eastAsia="国标仿宋" w:cs="国标仿宋"/>
          <w:kern w:val="2"/>
          <w:sz w:val="32"/>
          <w:szCs w:val="32"/>
          <w:highlight w:val="none"/>
          <w:lang w:val="en-US" w:eastAsia="zh-CN" w:bidi="ar-SA"/>
        </w:rPr>
        <w:t xml:space="preserve"> </w:t>
      </w:r>
      <w:r>
        <w:rPr>
          <w:rFonts w:hint="eastAsia" w:ascii="国标仿宋" w:hAnsi="国标仿宋" w:eastAsia="国标仿宋" w:cs="国标仿宋"/>
          <w:kern w:val="2"/>
          <w:sz w:val="32"/>
          <w:szCs w:val="32"/>
          <w:highlight w:val="none"/>
          <w:lang w:val="en-US" w:eastAsia="zh-CN" w:bidi="ar-SA"/>
        </w:rPr>
        <w:t>包装饮用水</w:t>
      </w:r>
      <w:r>
        <w:rPr>
          <w:rFonts w:hint="eastAsia" w:ascii="国标仿宋" w:hAnsi="国标仿宋" w:eastAsia="国标仿宋" w:cs="国标仿宋"/>
          <w:kern w:val="2"/>
          <w:sz w:val="32"/>
          <w:szCs w:val="32"/>
          <w:highlight w:val="none"/>
          <w:lang w:val="en-US" w:eastAsia="zh-CN" w:bidi="ar-SA"/>
        </w:rPr>
        <w:t>》（</w:t>
      </w:r>
      <w:r>
        <w:rPr>
          <w:rFonts w:hint="eastAsia" w:ascii="国标仿宋" w:hAnsi="国标仿宋" w:eastAsia="国标仿宋" w:cs="国标仿宋"/>
          <w:kern w:val="2"/>
          <w:sz w:val="32"/>
          <w:szCs w:val="32"/>
          <w:highlight w:val="none"/>
          <w:lang w:val="en-US" w:eastAsia="zh-CN" w:bidi="ar-SA"/>
        </w:rPr>
        <w:t>GB</w:t>
      </w:r>
      <w:r>
        <w:rPr>
          <w:rFonts w:hint="eastAsia" w:ascii="国标仿宋" w:hAnsi="国标仿宋" w:eastAsia="国标仿宋" w:cs="国标仿宋"/>
          <w:kern w:val="2"/>
          <w:sz w:val="32"/>
          <w:szCs w:val="32"/>
          <w:highlight w:val="none"/>
          <w:lang w:val="en-US" w:eastAsia="zh-CN" w:bidi="ar-SA"/>
        </w:rPr>
        <w:t xml:space="preserve"> </w:t>
      </w:r>
      <w:r>
        <w:rPr>
          <w:rFonts w:hint="eastAsia" w:ascii="国标仿宋" w:hAnsi="国标仿宋" w:eastAsia="国标仿宋" w:cs="国标仿宋"/>
          <w:kern w:val="2"/>
          <w:sz w:val="32"/>
          <w:szCs w:val="32"/>
          <w:highlight w:val="none"/>
          <w:lang w:val="en-US" w:eastAsia="zh-CN" w:bidi="ar-SA"/>
        </w:rPr>
        <w:t>19298</w:t>
      </w:r>
      <w:r>
        <w:rPr>
          <w:rFonts w:hint="eastAsia" w:ascii="国标仿宋" w:hAnsi="国标仿宋" w:eastAsia="国标仿宋" w:cs="国标仿宋"/>
          <w:kern w:val="2"/>
          <w:sz w:val="32"/>
          <w:szCs w:val="32"/>
          <w:highlight w:val="none"/>
          <w:lang w:val="en-US" w:eastAsia="zh-CN" w:bidi="ar-SA"/>
        </w:rPr>
        <w:t>—</w:t>
      </w:r>
      <w:r>
        <w:rPr>
          <w:rFonts w:hint="eastAsia" w:ascii="国标仿宋" w:hAnsi="国标仿宋" w:eastAsia="国标仿宋" w:cs="国标仿宋"/>
          <w:kern w:val="2"/>
          <w:sz w:val="32"/>
          <w:szCs w:val="32"/>
          <w:highlight w:val="none"/>
          <w:lang w:val="en-US" w:eastAsia="zh-CN" w:bidi="ar-SA"/>
        </w:rPr>
        <w:t>2014</w:t>
      </w:r>
      <w:r>
        <w:rPr>
          <w:rFonts w:hint="eastAsia" w:ascii="国标仿宋" w:hAnsi="国标仿宋" w:eastAsia="国标仿宋" w:cs="国标仿宋"/>
          <w:kern w:val="2"/>
          <w:sz w:val="32"/>
          <w:szCs w:val="32"/>
          <w:highlight w:val="none"/>
          <w:lang w:val="en-US" w:eastAsia="zh-CN" w:bidi="ar-SA"/>
        </w:rPr>
        <w:t>）</w:t>
      </w:r>
      <w:r>
        <w:rPr>
          <w:rFonts w:hint="eastAsia" w:ascii="国标仿宋" w:hAnsi="国标仿宋" w:eastAsia="国标仿宋" w:cs="国标仿宋"/>
          <w:kern w:val="2"/>
          <w:sz w:val="32"/>
          <w:szCs w:val="32"/>
          <w:highlight w:val="none"/>
          <w:lang w:val="en-US" w:eastAsia="zh-CN" w:bidi="ar-SA"/>
        </w:rPr>
        <w:t>中规定，</w:t>
      </w:r>
      <w:r>
        <w:rPr>
          <w:rFonts w:hint="eastAsia" w:ascii="国标仿宋" w:hAnsi="国标仿宋" w:eastAsia="国标仿宋" w:cs="国标仿宋"/>
          <w:kern w:val="2"/>
          <w:sz w:val="32"/>
          <w:szCs w:val="32"/>
          <w:highlight w:val="none"/>
          <w:lang w:val="en-US" w:eastAsia="zh-CN" w:bidi="ar-SA"/>
        </w:rPr>
        <w:t>包装饮用水同一批次产品5个样品中铜绿假单胞菌的检测结果</w:t>
      </w:r>
      <w:r>
        <w:rPr>
          <w:rFonts w:hint="eastAsia" w:ascii="国标仿宋" w:hAnsi="国标仿宋" w:eastAsia="国标仿宋" w:cs="国标仿宋"/>
          <w:kern w:val="2"/>
          <w:sz w:val="32"/>
          <w:szCs w:val="32"/>
          <w:highlight w:val="none"/>
          <w:lang w:val="en-US" w:eastAsia="zh-CN" w:bidi="ar-SA"/>
        </w:rPr>
        <w:t>均</w:t>
      </w:r>
      <w:r>
        <w:rPr>
          <w:rFonts w:hint="eastAsia" w:ascii="国标仿宋" w:hAnsi="国标仿宋" w:eastAsia="国标仿宋" w:cs="国标仿宋"/>
          <w:kern w:val="2"/>
          <w:sz w:val="32"/>
          <w:szCs w:val="32"/>
          <w:highlight w:val="none"/>
          <w:lang w:val="en-US" w:eastAsia="zh-CN" w:bidi="ar-SA"/>
        </w:rPr>
        <w:t>为</w:t>
      </w:r>
      <w:r>
        <w:rPr>
          <w:rFonts w:hint="eastAsia" w:ascii="国标仿宋" w:hAnsi="国标仿宋" w:eastAsia="国标仿宋" w:cs="国标仿宋"/>
          <w:kern w:val="2"/>
          <w:sz w:val="32"/>
          <w:szCs w:val="32"/>
          <w:highlight w:val="none"/>
          <w:lang w:val="en-US" w:eastAsia="zh-CN" w:bidi="ar-SA"/>
        </w:rPr>
        <w:t>不得检出。</w:t>
      </w:r>
      <w:r>
        <w:rPr>
          <w:rFonts w:hint="eastAsia" w:ascii="国标仿宋" w:hAnsi="国标仿宋" w:eastAsia="国标仿宋" w:cs="国标仿宋"/>
          <w:kern w:val="2"/>
          <w:sz w:val="32"/>
          <w:szCs w:val="32"/>
          <w:highlight w:val="none"/>
          <w:lang w:val="en-US" w:eastAsia="zh-CN" w:bidi="ar-SA"/>
        </w:rPr>
        <w:t>包装饮用水中检出</w:t>
      </w:r>
      <w:r>
        <w:rPr>
          <w:rFonts w:hint="eastAsia" w:ascii="国标仿宋" w:hAnsi="国标仿宋" w:eastAsia="国标仿宋" w:cs="国标仿宋"/>
          <w:kern w:val="2"/>
          <w:sz w:val="32"/>
          <w:szCs w:val="32"/>
          <w:highlight w:val="none"/>
          <w:lang w:val="en-US" w:eastAsia="zh-CN" w:bidi="ar-SA"/>
        </w:rPr>
        <w:t>铜绿假单胞菌的原因，可能是源水防护不当，水体受到污染</w:t>
      </w:r>
      <w:r>
        <w:rPr>
          <w:rFonts w:hint="eastAsia" w:ascii="国标仿宋" w:hAnsi="国标仿宋" w:eastAsia="国标仿宋" w:cs="国标仿宋"/>
          <w:kern w:val="2"/>
          <w:sz w:val="32"/>
          <w:szCs w:val="32"/>
          <w:highlight w:val="none"/>
          <w:lang w:val="en-US" w:eastAsia="zh-CN" w:bidi="ar-SA"/>
        </w:rPr>
        <w:t>；也可能是</w:t>
      </w:r>
      <w:r>
        <w:rPr>
          <w:rFonts w:hint="eastAsia" w:ascii="国标仿宋" w:hAnsi="国标仿宋" w:eastAsia="国标仿宋" w:cs="国标仿宋"/>
          <w:kern w:val="2"/>
          <w:sz w:val="32"/>
          <w:szCs w:val="32"/>
          <w:highlight w:val="none"/>
          <w:lang w:val="en-US" w:eastAsia="zh-CN" w:bidi="ar-SA"/>
        </w:rPr>
        <w:t>生产过程中卫生控制不严格</w:t>
      </w:r>
      <w:r>
        <w:rPr>
          <w:rFonts w:hint="eastAsia" w:ascii="国标仿宋" w:hAnsi="国标仿宋" w:eastAsia="国标仿宋" w:cs="国标仿宋"/>
          <w:kern w:val="2"/>
          <w:sz w:val="32"/>
          <w:szCs w:val="32"/>
          <w:highlight w:val="none"/>
          <w:lang w:val="en-US" w:eastAsia="zh-CN" w:bidi="ar-SA"/>
        </w:rPr>
        <w:t>；还可能</w:t>
      </w:r>
      <w:r>
        <w:rPr>
          <w:rFonts w:hint="eastAsia" w:ascii="国标仿宋" w:hAnsi="国标仿宋" w:eastAsia="国标仿宋" w:cs="国标仿宋"/>
          <w:kern w:val="2"/>
          <w:sz w:val="32"/>
          <w:szCs w:val="32"/>
          <w:highlight w:val="none"/>
          <w:lang w:val="en-US" w:eastAsia="zh-CN" w:bidi="ar-SA"/>
        </w:rPr>
        <w:t>是包装材料清洗消毒有缺陷所致。</w:t>
      </w:r>
    </w:p>
    <w:p w14:paraId="1D24D637">
      <w:pPr>
        <w:numPr>
          <w:ilvl w:val="0"/>
          <w:numId w:val="0"/>
        </w:numPr>
        <w:bidi w:val="0"/>
        <w:ind w:firstLine="640" w:firstLineChars="200"/>
        <w:rPr>
          <w:rFonts w:hint="eastAsia" w:ascii="国标仿宋" w:hAnsi="国标仿宋" w:eastAsia="国标仿宋" w:cs="国标仿宋"/>
          <w:b w:val="0"/>
          <w:bCs w:val="0"/>
          <w:color w:val="auto"/>
          <w:sz w:val="32"/>
          <w:szCs w:val="32"/>
          <w:lang w:val="en-US" w:eastAsia="zh-CN"/>
        </w:rPr>
      </w:pPr>
      <w:r>
        <w:rPr>
          <w:rFonts w:hint="eastAsia" w:ascii="国标仿宋" w:hAnsi="国标仿宋" w:eastAsia="国标仿宋" w:cs="国标仿宋"/>
          <w:b w:val="0"/>
          <w:bCs w:val="0"/>
          <w:color w:val="auto"/>
          <w:sz w:val="32"/>
          <w:szCs w:val="32"/>
          <w:lang w:val="en-US" w:eastAsia="zh-CN"/>
        </w:rPr>
        <w:t>六、克百威</w:t>
      </w:r>
    </w:p>
    <w:p w14:paraId="2F08D403">
      <w:pPr>
        <w:pStyle w:val="2"/>
        <w:keepNext w:val="0"/>
        <w:keepLines w:val="0"/>
        <w:pageBreakBefore w:val="0"/>
        <w:widowControl w:val="0"/>
        <w:numPr>
          <w:ilvl w:val="0"/>
          <w:numId w:val="0"/>
        </w:numPr>
        <w:kinsoku/>
        <w:wordWrap/>
        <w:overflowPunct/>
        <w:topLinePunct w:val="0"/>
        <w:autoSpaceDE/>
        <w:autoSpaceDN/>
        <w:bidi w:val="0"/>
        <w:adjustRightInd/>
        <w:snapToGrid/>
        <w:spacing w:after="0"/>
        <w:ind w:leftChars="0" w:firstLine="640" w:firstLineChars="200"/>
        <w:textAlignment w:val="auto"/>
        <w:rPr>
          <w:rFonts w:hint="eastAsia" w:ascii="国标仿宋" w:hAnsi="国标仿宋" w:eastAsia="国标仿宋" w:cs="国标仿宋"/>
          <w:sz w:val="32"/>
          <w:szCs w:val="32"/>
          <w:highlight w:val="none"/>
          <w:lang w:val="en-US" w:eastAsia="zh-CN"/>
        </w:rPr>
      </w:pPr>
      <w:r>
        <w:rPr>
          <w:rFonts w:hint="eastAsia" w:ascii="国标仿宋" w:hAnsi="国标仿宋" w:eastAsia="国标仿宋" w:cs="国标仿宋"/>
          <w:sz w:val="32"/>
          <w:szCs w:val="32"/>
          <w:highlight w:val="none"/>
          <w:lang w:val="en-US" w:eastAsia="zh-CN"/>
        </w:rPr>
        <w:t>克百威是一种广谱、高效、低残留、高毒性的氨基甲酸酯类杀虫、杀螨、杀线虫剂，具有内吸、触杀、胃毒等作用，并有一定的杀卵作用。《食品安全国家标准 食品中农药最大残留限量》（GB 2763—2016）中规定，克百威在豆类蔬菜中的最大残留限量值为0.02mg/kg。豇豆中克百威超标的原因，可能是菜农对使用农药的安全间隔期不了解，从而违规使用或滥用农药。摄入克百威超标的食品，可能引起头昏、乏力、多汗、呕吐、视力模糊等症状。</w:t>
      </w:r>
    </w:p>
    <w:p w14:paraId="20B62B9E">
      <w:pPr>
        <w:numPr>
          <w:ilvl w:val="0"/>
          <w:numId w:val="0"/>
        </w:numPr>
        <w:bidi w:val="0"/>
        <w:ind w:firstLine="640" w:firstLineChars="200"/>
        <w:rPr>
          <w:rFonts w:hint="eastAsia" w:ascii="国标仿宋" w:hAnsi="国标仿宋" w:eastAsia="国标仿宋" w:cs="国标仿宋"/>
          <w:b w:val="0"/>
          <w:bCs w:val="0"/>
          <w:color w:val="auto"/>
          <w:sz w:val="32"/>
          <w:szCs w:val="32"/>
          <w:lang w:val="en-US" w:eastAsia="zh-CN"/>
        </w:rPr>
      </w:pPr>
      <w:r>
        <w:rPr>
          <w:rFonts w:hint="eastAsia" w:ascii="国标仿宋" w:hAnsi="国标仿宋" w:eastAsia="国标仿宋" w:cs="国标仿宋"/>
          <w:b w:val="0"/>
          <w:bCs w:val="0"/>
          <w:color w:val="auto"/>
          <w:sz w:val="32"/>
          <w:szCs w:val="32"/>
          <w:lang w:val="en-US" w:eastAsia="zh-CN"/>
        </w:rPr>
        <w:t>七、毒死蜱</w:t>
      </w:r>
    </w:p>
    <w:p w14:paraId="2688D20D">
      <w:pPr>
        <w:keepNext w:val="0"/>
        <w:keepLines w:val="0"/>
        <w:pageBreakBefore w:val="0"/>
        <w:widowControl w:val="0"/>
        <w:numPr>
          <w:ilvl w:val="0"/>
          <w:numId w:val="0"/>
        </w:numPr>
        <w:shd w:val="clear"/>
        <w:kinsoku/>
        <w:wordWrap/>
        <w:overflowPunct/>
        <w:topLinePunct w:val="0"/>
        <w:autoSpaceDE/>
        <w:autoSpaceDN/>
        <w:bidi w:val="0"/>
        <w:adjustRightInd/>
        <w:snapToGrid/>
        <w:spacing w:line="594" w:lineRule="exact"/>
        <w:ind w:firstLine="640" w:firstLineChars="200"/>
        <w:textAlignment w:val="auto"/>
        <w:rPr>
          <w:rFonts w:hint="eastAsia" w:ascii="国标仿宋" w:hAnsi="国标仿宋" w:eastAsia="国标仿宋" w:cs="国标仿宋"/>
          <w:sz w:val="32"/>
          <w:szCs w:val="32"/>
          <w:highlight w:val="none"/>
        </w:rPr>
      </w:pPr>
      <w:r>
        <w:rPr>
          <w:rFonts w:hint="eastAsia" w:ascii="国标仿宋" w:hAnsi="国标仿宋" w:eastAsia="国标仿宋" w:cs="国标仿宋"/>
          <w:sz w:val="32"/>
          <w:szCs w:val="32"/>
          <w:highlight w:val="none"/>
        </w:rPr>
        <w:t>毒死蜱又名氯蜱硫磷，是一种硫代磷酸酯类有机磷杀虫、杀螨剂，具有良好的触杀、胃毒和熏蒸作用</w:t>
      </w:r>
      <w:r>
        <w:rPr>
          <w:rFonts w:hint="eastAsia" w:ascii="国标仿宋" w:hAnsi="国标仿宋" w:eastAsia="国标仿宋" w:cs="国标仿宋"/>
          <w:sz w:val="32"/>
          <w:szCs w:val="32"/>
          <w:highlight w:val="none"/>
          <w:lang w:eastAsia="zh-CN"/>
        </w:rPr>
        <w:t>。</w:t>
      </w:r>
      <w:r>
        <w:rPr>
          <w:rFonts w:hint="eastAsia" w:ascii="国标仿宋" w:hAnsi="国标仿宋" w:eastAsia="国标仿宋" w:cs="国标仿宋"/>
          <w:sz w:val="32"/>
          <w:szCs w:val="32"/>
          <w:highlight w:val="none"/>
        </w:rPr>
        <w:t>目前是全世界使用最广泛的有机磷酸酯杀虫剂之一，具有触杀、胃毒和熏蒸等作用。《食品安全国家标准 食品中农药最大残留限量》（GB 2763</w:t>
      </w:r>
      <w:r>
        <w:rPr>
          <w:rFonts w:hint="eastAsia" w:ascii="国标仿宋" w:hAnsi="国标仿宋" w:eastAsia="国标仿宋" w:cs="国标仿宋"/>
          <w:sz w:val="32"/>
          <w:szCs w:val="32"/>
          <w:highlight w:val="none"/>
        </w:rPr>
        <w:t>—</w:t>
      </w:r>
      <w:r>
        <w:rPr>
          <w:rFonts w:hint="eastAsia" w:ascii="国标仿宋" w:hAnsi="国标仿宋" w:eastAsia="国标仿宋" w:cs="国标仿宋"/>
          <w:sz w:val="32"/>
          <w:szCs w:val="32"/>
          <w:highlight w:val="none"/>
        </w:rPr>
        <w:t>2016）中规定，毒死蜱在芹菜中的最大残留限量值为0.05mg/kg。芹菜中毒死蜱超标</w:t>
      </w:r>
      <w:r>
        <w:rPr>
          <w:rFonts w:hint="eastAsia" w:ascii="国标仿宋" w:hAnsi="国标仿宋" w:eastAsia="国标仿宋" w:cs="国标仿宋"/>
          <w:sz w:val="32"/>
          <w:szCs w:val="32"/>
          <w:highlight w:val="none"/>
        </w:rPr>
        <w:t>的原因</w:t>
      </w:r>
      <w:r>
        <w:rPr>
          <w:rFonts w:hint="eastAsia" w:ascii="国标仿宋" w:hAnsi="国标仿宋" w:eastAsia="国标仿宋" w:cs="国标仿宋"/>
          <w:sz w:val="32"/>
          <w:szCs w:val="32"/>
          <w:highlight w:val="none"/>
        </w:rPr>
        <w:t>，可能是菜农</w:t>
      </w:r>
      <w:r>
        <w:rPr>
          <w:rFonts w:hint="eastAsia" w:ascii="国标仿宋" w:hAnsi="国标仿宋" w:eastAsia="国标仿宋" w:cs="国标仿宋"/>
          <w:sz w:val="32"/>
          <w:szCs w:val="32"/>
          <w:highlight w:val="none"/>
        </w:rPr>
        <w:t>对</w:t>
      </w:r>
      <w:r>
        <w:rPr>
          <w:rFonts w:hint="eastAsia" w:ascii="国标仿宋" w:hAnsi="国标仿宋" w:eastAsia="国标仿宋" w:cs="国标仿宋"/>
          <w:sz w:val="32"/>
          <w:szCs w:val="32"/>
          <w:highlight w:val="none"/>
        </w:rPr>
        <w:t>使用农药的安全间隔期不了解，</w:t>
      </w:r>
      <w:r>
        <w:rPr>
          <w:rFonts w:hint="eastAsia" w:ascii="国标仿宋" w:hAnsi="国标仿宋" w:eastAsia="国标仿宋" w:cs="国标仿宋"/>
          <w:sz w:val="32"/>
          <w:szCs w:val="32"/>
          <w:highlight w:val="none"/>
        </w:rPr>
        <w:t>从而</w:t>
      </w:r>
      <w:r>
        <w:rPr>
          <w:rFonts w:hint="eastAsia" w:ascii="国标仿宋" w:hAnsi="国标仿宋" w:eastAsia="国标仿宋" w:cs="国标仿宋"/>
          <w:sz w:val="32"/>
          <w:szCs w:val="32"/>
          <w:highlight w:val="none"/>
        </w:rPr>
        <w:t>违规使用或滥用农药。</w:t>
      </w:r>
      <w:r>
        <w:rPr>
          <w:rFonts w:hint="eastAsia" w:ascii="国标仿宋" w:hAnsi="国标仿宋" w:eastAsia="国标仿宋" w:cs="国标仿宋"/>
          <w:sz w:val="32"/>
          <w:szCs w:val="32"/>
          <w:highlight w:val="none"/>
        </w:rPr>
        <w:t>食用毒死蜱超标的食品，可能引起头昏、头痛、无力、呕吐等症状，甚至还可能导致癫痫样抽搐。</w:t>
      </w:r>
    </w:p>
    <w:p w14:paraId="5D3E2A42">
      <w:pPr>
        <w:numPr>
          <w:ilvl w:val="0"/>
          <w:numId w:val="0"/>
        </w:numPr>
        <w:bidi w:val="0"/>
        <w:ind w:firstLine="640" w:firstLineChars="200"/>
        <w:rPr>
          <w:rFonts w:hint="eastAsia" w:ascii="国标仿宋" w:hAnsi="国标仿宋" w:eastAsia="国标仿宋" w:cs="国标仿宋"/>
          <w:b w:val="0"/>
          <w:bCs w:val="0"/>
          <w:color w:val="auto"/>
          <w:sz w:val="32"/>
          <w:szCs w:val="32"/>
          <w:lang w:val="en-US" w:eastAsia="zh-CN"/>
        </w:rPr>
      </w:pPr>
      <w:r>
        <w:rPr>
          <w:rFonts w:hint="eastAsia" w:ascii="国标仿宋" w:hAnsi="国标仿宋" w:eastAsia="国标仿宋" w:cs="国标仿宋"/>
          <w:b w:val="0"/>
          <w:bCs w:val="0"/>
          <w:color w:val="auto"/>
          <w:sz w:val="32"/>
          <w:szCs w:val="32"/>
          <w:lang w:val="en-US" w:eastAsia="zh-CN"/>
        </w:rPr>
        <w:t>八、氧乐果</w:t>
      </w:r>
    </w:p>
    <w:p w14:paraId="38586E40">
      <w:pPr>
        <w:pStyle w:val="2"/>
        <w:keepNext w:val="0"/>
        <w:keepLines w:val="0"/>
        <w:pageBreakBefore w:val="0"/>
        <w:widowControl w:val="0"/>
        <w:numPr>
          <w:ilvl w:val="0"/>
          <w:numId w:val="0"/>
        </w:numPr>
        <w:kinsoku/>
        <w:wordWrap/>
        <w:overflowPunct/>
        <w:topLinePunct w:val="0"/>
        <w:autoSpaceDE/>
        <w:autoSpaceDN/>
        <w:bidi w:val="0"/>
        <w:adjustRightInd/>
        <w:snapToGrid/>
        <w:spacing w:after="0"/>
        <w:ind w:leftChars="0" w:firstLine="640" w:firstLineChars="200"/>
        <w:textAlignment w:val="auto"/>
        <w:rPr>
          <w:rFonts w:hint="eastAsia" w:ascii="国标仿宋" w:hAnsi="国标仿宋" w:eastAsia="国标仿宋" w:cs="国标仿宋"/>
          <w:sz w:val="32"/>
          <w:szCs w:val="32"/>
          <w:highlight w:val="none"/>
          <w:lang w:val="en-US" w:eastAsia="zh-CN"/>
        </w:rPr>
      </w:pPr>
      <w:r>
        <w:rPr>
          <w:rFonts w:hint="eastAsia" w:ascii="国标仿宋" w:hAnsi="国标仿宋" w:eastAsia="国标仿宋" w:cs="国标仿宋"/>
          <w:sz w:val="32"/>
          <w:szCs w:val="32"/>
          <w:highlight w:val="none"/>
        </w:rPr>
        <w:t>氧乐果是一种有机磷杀虫、杀螨剂，具有较强的内吸、触杀和一定的胃毒作用。《食品安全国家标准 食品中农药最大残留限量》（GB 2763—2019）中规定，鳞茎类蔬菜中氧乐果的最大残留限量值为0.02mg/kg。韭菜中氧乐果超标的原因，可能是菜农对使用农药的安全间隔期不了解，从而违规使用或滥用农药。</w:t>
      </w:r>
    </w:p>
    <w:bookmarkEnd w:id="0"/>
    <w:sectPr>
      <w:pgSz w:w="11906" w:h="16838"/>
      <w:pgMar w:top="1440" w:right="1080" w:bottom="1440" w:left="108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ind w:firstLine="560"/>
      </w:pPr>
      <w:r>
        <w:separator/>
      </w:r>
    </w:p>
  </w:endnote>
  <w:endnote w:type="continuationSeparator" w:id="1">
    <w:p>
      <w:pPr>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DejaVu Sans"/>
    <w:panose1 w:val="02020603050405020304"/>
    <w:charset w:val="86"/>
    <w:family w:val="auto"/>
    <w:pitch w:val="default"/>
    <w:sig w:usb0="00000000" w:usb1="00000000"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DBE8E584-937D-8691-FEEC-60673C96E89F}"/>
  </w:font>
  <w:font w:name="Arial">
    <w:altName w:val="DejaVu Sans"/>
    <w:panose1 w:val="020B0604020202020204"/>
    <w:charset w:val="01"/>
    <w:family w:val="swiss"/>
    <w:pitch w:val="default"/>
    <w:sig w:usb0="E0002AFF" w:usb1="C0007843" w:usb2="00000009" w:usb3="00000000" w:csb0="400001FF" w:csb1="FFFF0000"/>
  </w:font>
  <w:font w:name="黑体">
    <w:altName w:val="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embedRegular r:id="rId2" w:fontKey="{F4172E93-DA56-9BE5-FEEC-60677EC65578}"/>
  </w:font>
  <w:font w:name="DejaVu Sans">
    <w:panose1 w:val="020B0603030804020204"/>
    <w:charset w:val="00"/>
    <w:family w:val="auto"/>
    <w:pitch w:val="default"/>
    <w:sig w:usb0="E7006EFF" w:usb1="D200FDFF" w:usb2="0A246029" w:usb3="0400200C" w:csb0="600001FF" w:csb1="DFFF0000"/>
    <w:embedRegular r:id="rId3" w:fontKey="{B2244791-ABD7-CDCF-FEEC-60676FC34B10}"/>
  </w:font>
  <w:font w:name="Calibri">
    <w:altName w:val="DejaVu Sans"/>
    <w:panose1 w:val="020F0502020204030204"/>
    <w:charset w:val="00"/>
    <w:family w:val="swiss"/>
    <w:pitch w:val="default"/>
    <w:sig w:usb0="00000000" w:usb1="00000000" w:usb2="00000001" w:usb3="00000000" w:csb0="0000019F" w:csb1="00000000"/>
  </w:font>
  <w:font w:name="方正书宋_GBK">
    <w:panose1 w:val="02000000000000000000"/>
    <w:charset w:val="86"/>
    <w:family w:val="auto"/>
    <w:pitch w:val="default"/>
    <w:sig w:usb0="00000001" w:usb1="08000000" w:usb2="00000000" w:usb3="00000000" w:csb0="00040000" w:csb1="00000000"/>
    <w:embedRegular r:id="rId4" w:fontKey="{9F6A71A2-CBD8-A84C-FEEC-6067A5873986}"/>
  </w:font>
  <w:font w:name="方正小标宋简体">
    <w:panose1 w:val="02000000000000000000"/>
    <w:charset w:val="86"/>
    <w:family w:val="auto"/>
    <w:pitch w:val="default"/>
    <w:sig w:usb0="00000001" w:usb1="08000000" w:usb2="00000000" w:usb3="00000000" w:csb0="00040000" w:csb1="00000000"/>
    <w:embedRegular r:id="rId5" w:fontKey="{DC03A3DF-3913-0B30-FEEC-606710AB2AF0}"/>
  </w:font>
  <w:font w:name="仿宋_GB2312">
    <w:panose1 w:val="02010609030101010101"/>
    <w:charset w:val="86"/>
    <w:family w:val="modern"/>
    <w:pitch w:val="default"/>
    <w:sig w:usb0="00000001" w:usb1="080E0000" w:usb2="00000000" w:usb3="00000000" w:csb0="00040000" w:csb1="00000000"/>
  </w:font>
  <w:font w:name="方正仿宋_GBK">
    <w:panose1 w:val="02000000000000000000"/>
    <w:charset w:val="86"/>
    <w:family w:val="auto"/>
    <w:pitch w:val="default"/>
    <w:sig w:usb0="00000001" w:usb1="08000000" w:usb2="00000000" w:usb3="00000000" w:csb0="00040000" w:csb1="00000000"/>
    <w:embedRegular r:id="rId6" w:fontKey="{51E290A4-91DB-CAEA-FEEC-60673E687D7C}"/>
  </w:font>
  <w:font w:name="国标仿宋">
    <w:panose1 w:val="02000500000000000000"/>
    <w:charset w:val="86"/>
    <w:family w:val="auto"/>
    <w:pitch w:val="default"/>
    <w:sig w:usb0="A00002BF" w:usb1="38C77CFA" w:usb2="00000016" w:usb3="00000000" w:csb0="00060007" w:csb1="00000000"/>
    <w:embedRegular r:id="rId7" w:fontKey="{6648EE59-2BEA-F71C-FEEC-60670A5F4306}"/>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ind w:firstLine="560"/>
      </w:pPr>
      <w:r>
        <w:separator/>
      </w:r>
    </w:p>
  </w:footnote>
  <w:footnote w:type="continuationSeparator" w:id="1">
    <w:p>
      <w:pPr>
        <w:ind w:firstLine="56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Q3OTkzZjA1NWU1MjAzMmNmMjE5MGY5OGMwZTQxOGYifQ=="/>
  </w:docVars>
  <w:rsids>
    <w:rsidRoot w:val="00000000"/>
    <w:rsid w:val="000344F4"/>
    <w:rsid w:val="00B80060"/>
    <w:rsid w:val="01825310"/>
    <w:rsid w:val="02A429BD"/>
    <w:rsid w:val="02C31095"/>
    <w:rsid w:val="03595555"/>
    <w:rsid w:val="03EE296A"/>
    <w:rsid w:val="04096F7B"/>
    <w:rsid w:val="040B02F9"/>
    <w:rsid w:val="044B602A"/>
    <w:rsid w:val="04BF3ADE"/>
    <w:rsid w:val="04E24202"/>
    <w:rsid w:val="05D10C29"/>
    <w:rsid w:val="0696311D"/>
    <w:rsid w:val="069C40D7"/>
    <w:rsid w:val="078260C4"/>
    <w:rsid w:val="08294B9A"/>
    <w:rsid w:val="087921F6"/>
    <w:rsid w:val="09297491"/>
    <w:rsid w:val="09301A43"/>
    <w:rsid w:val="095A2027"/>
    <w:rsid w:val="095F6A24"/>
    <w:rsid w:val="0ADF0A36"/>
    <w:rsid w:val="0AFB3396"/>
    <w:rsid w:val="0CDA7707"/>
    <w:rsid w:val="0CDC7662"/>
    <w:rsid w:val="0D892EDB"/>
    <w:rsid w:val="0DF60746"/>
    <w:rsid w:val="0DFC0D95"/>
    <w:rsid w:val="0E434B3D"/>
    <w:rsid w:val="0E910299"/>
    <w:rsid w:val="101C0036"/>
    <w:rsid w:val="107439CE"/>
    <w:rsid w:val="10CA0F7B"/>
    <w:rsid w:val="10DC2325"/>
    <w:rsid w:val="11477335"/>
    <w:rsid w:val="115A3446"/>
    <w:rsid w:val="12D53340"/>
    <w:rsid w:val="12F65C8A"/>
    <w:rsid w:val="1300454B"/>
    <w:rsid w:val="133C48BA"/>
    <w:rsid w:val="13DE7D8A"/>
    <w:rsid w:val="140E5EE8"/>
    <w:rsid w:val="143E32F5"/>
    <w:rsid w:val="14860174"/>
    <w:rsid w:val="152A2113"/>
    <w:rsid w:val="15375381"/>
    <w:rsid w:val="15B62C7A"/>
    <w:rsid w:val="15F86E50"/>
    <w:rsid w:val="16900BE1"/>
    <w:rsid w:val="1776473E"/>
    <w:rsid w:val="17CE2B1F"/>
    <w:rsid w:val="17E02E26"/>
    <w:rsid w:val="18CA084D"/>
    <w:rsid w:val="18DF798A"/>
    <w:rsid w:val="196A0064"/>
    <w:rsid w:val="196E4ECC"/>
    <w:rsid w:val="197B7B7C"/>
    <w:rsid w:val="1A554870"/>
    <w:rsid w:val="1A6928DF"/>
    <w:rsid w:val="1A953BC3"/>
    <w:rsid w:val="1B286060"/>
    <w:rsid w:val="1B2D6B97"/>
    <w:rsid w:val="1C0D6127"/>
    <w:rsid w:val="1C9033FF"/>
    <w:rsid w:val="1CA05C9E"/>
    <w:rsid w:val="1CB05AB4"/>
    <w:rsid w:val="1D93558A"/>
    <w:rsid w:val="1DA41151"/>
    <w:rsid w:val="1E5C65AE"/>
    <w:rsid w:val="1EEB57A3"/>
    <w:rsid w:val="1FE8581A"/>
    <w:rsid w:val="204460A1"/>
    <w:rsid w:val="21002833"/>
    <w:rsid w:val="211D78ED"/>
    <w:rsid w:val="214124E7"/>
    <w:rsid w:val="215B18AD"/>
    <w:rsid w:val="21865982"/>
    <w:rsid w:val="22525B39"/>
    <w:rsid w:val="22C848AB"/>
    <w:rsid w:val="23621DAC"/>
    <w:rsid w:val="24C44F49"/>
    <w:rsid w:val="25083B72"/>
    <w:rsid w:val="26224891"/>
    <w:rsid w:val="26551754"/>
    <w:rsid w:val="27C774AF"/>
    <w:rsid w:val="288F1546"/>
    <w:rsid w:val="28FF1DD6"/>
    <w:rsid w:val="29051A95"/>
    <w:rsid w:val="294559C6"/>
    <w:rsid w:val="2964062C"/>
    <w:rsid w:val="29D5472A"/>
    <w:rsid w:val="2B0820F1"/>
    <w:rsid w:val="2B6D1EBD"/>
    <w:rsid w:val="2BB147D0"/>
    <w:rsid w:val="2BF65788"/>
    <w:rsid w:val="2C1B2FBD"/>
    <w:rsid w:val="2D6B1281"/>
    <w:rsid w:val="2DA86071"/>
    <w:rsid w:val="2DAC3876"/>
    <w:rsid w:val="2DC20A7F"/>
    <w:rsid w:val="2E312CC6"/>
    <w:rsid w:val="2E6D7F83"/>
    <w:rsid w:val="2F054099"/>
    <w:rsid w:val="2F8C459D"/>
    <w:rsid w:val="2F906D4C"/>
    <w:rsid w:val="301F34FF"/>
    <w:rsid w:val="302723B3"/>
    <w:rsid w:val="311C7A3E"/>
    <w:rsid w:val="31385B68"/>
    <w:rsid w:val="32BB5D6C"/>
    <w:rsid w:val="3359290B"/>
    <w:rsid w:val="33AD0E22"/>
    <w:rsid w:val="33D76649"/>
    <w:rsid w:val="34965FC0"/>
    <w:rsid w:val="34F575BC"/>
    <w:rsid w:val="34F8431E"/>
    <w:rsid w:val="36AC109C"/>
    <w:rsid w:val="375D2B5F"/>
    <w:rsid w:val="37753A04"/>
    <w:rsid w:val="37A367C3"/>
    <w:rsid w:val="38CB3DDB"/>
    <w:rsid w:val="38EB5833"/>
    <w:rsid w:val="397EBD1D"/>
    <w:rsid w:val="3A1A24B1"/>
    <w:rsid w:val="3C7A386B"/>
    <w:rsid w:val="3D5A2D84"/>
    <w:rsid w:val="3DE44018"/>
    <w:rsid w:val="3DFB1A82"/>
    <w:rsid w:val="3F12422F"/>
    <w:rsid w:val="3F15741F"/>
    <w:rsid w:val="3F275F2C"/>
    <w:rsid w:val="3F4940F4"/>
    <w:rsid w:val="40176ACF"/>
    <w:rsid w:val="40245418"/>
    <w:rsid w:val="40C4583D"/>
    <w:rsid w:val="418876B6"/>
    <w:rsid w:val="423674FD"/>
    <w:rsid w:val="43432617"/>
    <w:rsid w:val="43601A0D"/>
    <w:rsid w:val="447514E8"/>
    <w:rsid w:val="44C57A3A"/>
    <w:rsid w:val="44DC138D"/>
    <w:rsid w:val="45A22B07"/>
    <w:rsid w:val="46843C64"/>
    <w:rsid w:val="4731402C"/>
    <w:rsid w:val="488C6869"/>
    <w:rsid w:val="48CE566A"/>
    <w:rsid w:val="494F782E"/>
    <w:rsid w:val="498966DD"/>
    <w:rsid w:val="498C23FF"/>
    <w:rsid w:val="49BA475F"/>
    <w:rsid w:val="49CB0256"/>
    <w:rsid w:val="49E8275C"/>
    <w:rsid w:val="4A3800F1"/>
    <w:rsid w:val="4A7B624E"/>
    <w:rsid w:val="4B76158F"/>
    <w:rsid w:val="4BCE358C"/>
    <w:rsid w:val="4BF73B51"/>
    <w:rsid w:val="4CEA2347"/>
    <w:rsid w:val="4D210C1F"/>
    <w:rsid w:val="4D371A30"/>
    <w:rsid w:val="4DC17117"/>
    <w:rsid w:val="4F4133E4"/>
    <w:rsid w:val="4FC357FD"/>
    <w:rsid w:val="508A493F"/>
    <w:rsid w:val="513E3305"/>
    <w:rsid w:val="513F2A95"/>
    <w:rsid w:val="517152C2"/>
    <w:rsid w:val="51AD1383"/>
    <w:rsid w:val="520B03D7"/>
    <w:rsid w:val="52346864"/>
    <w:rsid w:val="52D50B69"/>
    <w:rsid w:val="52DB3D83"/>
    <w:rsid w:val="544876EE"/>
    <w:rsid w:val="55012924"/>
    <w:rsid w:val="55083CB2"/>
    <w:rsid w:val="551732F6"/>
    <w:rsid w:val="559D43FA"/>
    <w:rsid w:val="55F46D60"/>
    <w:rsid w:val="565F5B54"/>
    <w:rsid w:val="566641F1"/>
    <w:rsid w:val="568B0DA1"/>
    <w:rsid w:val="573D3FAB"/>
    <w:rsid w:val="579A1BCE"/>
    <w:rsid w:val="57D041CF"/>
    <w:rsid w:val="57F901AF"/>
    <w:rsid w:val="588878CF"/>
    <w:rsid w:val="58FC1D80"/>
    <w:rsid w:val="592F5CB1"/>
    <w:rsid w:val="5A0C1B4F"/>
    <w:rsid w:val="5A3315C5"/>
    <w:rsid w:val="5A4659A2"/>
    <w:rsid w:val="5A96490A"/>
    <w:rsid w:val="5AD05272"/>
    <w:rsid w:val="5AD55581"/>
    <w:rsid w:val="5AD615A0"/>
    <w:rsid w:val="5B6427F6"/>
    <w:rsid w:val="5B791466"/>
    <w:rsid w:val="5B9B53BA"/>
    <w:rsid w:val="5BA17D39"/>
    <w:rsid w:val="5C341831"/>
    <w:rsid w:val="5C532AE2"/>
    <w:rsid w:val="5C584917"/>
    <w:rsid w:val="5C64366F"/>
    <w:rsid w:val="5CAF73C5"/>
    <w:rsid w:val="5DA45083"/>
    <w:rsid w:val="5DC015CE"/>
    <w:rsid w:val="5DCC5A5B"/>
    <w:rsid w:val="5E622685"/>
    <w:rsid w:val="5F0B4ACB"/>
    <w:rsid w:val="5F49046C"/>
    <w:rsid w:val="5F7452EA"/>
    <w:rsid w:val="5F7563E8"/>
    <w:rsid w:val="60A84258"/>
    <w:rsid w:val="610E7066"/>
    <w:rsid w:val="61A17D4A"/>
    <w:rsid w:val="61AE6356"/>
    <w:rsid w:val="623A1223"/>
    <w:rsid w:val="62B678FA"/>
    <w:rsid w:val="63240F33"/>
    <w:rsid w:val="636644FB"/>
    <w:rsid w:val="64781AE6"/>
    <w:rsid w:val="64D400C9"/>
    <w:rsid w:val="650E52CA"/>
    <w:rsid w:val="65F22540"/>
    <w:rsid w:val="65F75406"/>
    <w:rsid w:val="665723A3"/>
    <w:rsid w:val="66670432"/>
    <w:rsid w:val="66BB30AB"/>
    <w:rsid w:val="66EE1D57"/>
    <w:rsid w:val="674220CE"/>
    <w:rsid w:val="67CA2C0F"/>
    <w:rsid w:val="67E81E4D"/>
    <w:rsid w:val="67FA7338"/>
    <w:rsid w:val="688A550A"/>
    <w:rsid w:val="68B72706"/>
    <w:rsid w:val="69DA39E4"/>
    <w:rsid w:val="6A077FE3"/>
    <w:rsid w:val="6A611B11"/>
    <w:rsid w:val="6A615EE7"/>
    <w:rsid w:val="6AC87D14"/>
    <w:rsid w:val="6AD40467"/>
    <w:rsid w:val="6AE123C4"/>
    <w:rsid w:val="6BE446D9"/>
    <w:rsid w:val="6CC1675C"/>
    <w:rsid w:val="6DD108C1"/>
    <w:rsid w:val="6DE953B9"/>
    <w:rsid w:val="6ED815AB"/>
    <w:rsid w:val="6EFA6680"/>
    <w:rsid w:val="6F037CD0"/>
    <w:rsid w:val="6F197A70"/>
    <w:rsid w:val="6F657368"/>
    <w:rsid w:val="6FC62348"/>
    <w:rsid w:val="6FD9651F"/>
    <w:rsid w:val="6FF43359"/>
    <w:rsid w:val="6FF7345D"/>
    <w:rsid w:val="70531E2E"/>
    <w:rsid w:val="7056191E"/>
    <w:rsid w:val="70660A93"/>
    <w:rsid w:val="707A7306"/>
    <w:rsid w:val="70E84CA3"/>
    <w:rsid w:val="70FC0717"/>
    <w:rsid w:val="72DB3E21"/>
    <w:rsid w:val="72E94CCB"/>
    <w:rsid w:val="72F81CDB"/>
    <w:rsid w:val="73715DDE"/>
    <w:rsid w:val="74D10313"/>
    <w:rsid w:val="75036F54"/>
    <w:rsid w:val="75360A2B"/>
    <w:rsid w:val="754617F9"/>
    <w:rsid w:val="75681529"/>
    <w:rsid w:val="76574FF2"/>
    <w:rsid w:val="77410FF7"/>
    <w:rsid w:val="77CA0D98"/>
    <w:rsid w:val="77CF26E1"/>
    <w:rsid w:val="783852C6"/>
    <w:rsid w:val="783C39E6"/>
    <w:rsid w:val="784C61E5"/>
    <w:rsid w:val="785250C1"/>
    <w:rsid w:val="785B21C7"/>
    <w:rsid w:val="78C07736"/>
    <w:rsid w:val="79493DA7"/>
    <w:rsid w:val="79741CBD"/>
    <w:rsid w:val="79BC42C0"/>
    <w:rsid w:val="79EE01F8"/>
    <w:rsid w:val="7A647859"/>
    <w:rsid w:val="7A7237F8"/>
    <w:rsid w:val="7AB91427"/>
    <w:rsid w:val="7AE00762"/>
    <w:rsid w:val="7B4B72F2"/>
    <w:rsid w:val="7BC12F4E"/>
    <w:rsid w:val="7C9E5084"/>
    <w:rsid w:val="7CCA6B5D"/>
    <w:rsid w:val="7D1E3DEF"/>
    <w:rsid w:val="7D52346D"/>
    <w:rsid w:val="7DD8509E"/>
    <w:rsid w:val="7E5C5855"/>
    <w:rsid w:val="7EDC52B5"/>
    <w:rsid w:val="7FE26428"/>
    <w:rsid w:val="7FF4758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iPriority="99" w:semiHidden="0" w:name="Body Text"/>
    <w:lsdException w:qFormat="1"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ind w:firstLine="640" w:firstLineChars="200"/>
      <w:jc w:val="both"/>
    </w:pPr>
    <w:rPr>
      <w:rFonts w:ascii="Times New Roman" w:hAnsi="Times New Roman" w:eastAsia="宋体" w:cs="Times New Roman"/>
      <w:kern w:val="2"/>
      <w:sz w:val="28"/>
      <w:szCs w:val="24"/>
      <w:lang w:val="en-US" w:eastAsia="zh-CN" w:bidi="ar-SA"/>
    </w:rPr>
  </w:style>
  <w:style w:type="paragraph" w:styleId="4">
    <w:name w:val="heading 2"/>
    <w:basedOn w:val="1"/>
    <w:next w:val="1"/>
    <w:unhideWhenUsed/>
    <w:qFormat/>
    <w:uiPriority w:val="9"/>
    <w:pPr>
      <w:keepNext/>
      <w:keepLines/>
      <w:spacing w:before="260" w:beforeLines="0" w:beforeAutospacing="0" w:after="260" w:afterLines="0" w:afterAutospacing="0" w:line="413" w:lineRule="auto"/>
      <w:outlineLvl w:val="1"/>
    </w:pPr>
    <w:rPr>
      <w:rFonts w:ascii="Arial" w:hAnsi="Arial" w:eastAsia="黑体"/>
      <w:b/>
      <w:sz w:val="32"/>
    </w:rPr>
  </w:style>
  <w:style w:type="character" w:default="1" w:styleId="10">
    <w:name w:val="Default Paragraph Font"/>
    <w:semiHidden/>
    <w:qFormat/>
    <w:uiPriority w:val="0"/>
  </w:style>
  <w:style w:type="table" w:default="1" w:styleId="9">
    <w:name w:val="Normal Tabl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2">
    <w:name w:val="Body Text First Indent 2"/>
    <w:basedOn w:val="3"/>
    <w:unhideWhenUsed/>
    <w:qFormat/>
    <w:uiPriority w:val="99"/>
    <w:pPr>
      <w:ind w:firstLine="420" w:firstLineChars="200"/>
    </w:pPr>
  </w:style>
  <w:style w:type="paragraph" w:styleId="3">
    <w:name w:val="Body Text Indent"/>
    <w:basedOn w:val="1"/>
    <w:unhideWhenUsed/>
    <w:qFormat/>
    <w:uiPriority w:val="99"/>
    <w:pPr>
      <w:spacing w:after="120"/>
      <w:ind w:left="420" w:leftChars="200"/>
    </w:pPr>
    <w:rPr>
      <w:rFonts w:hAnsi="Calibri"/>
      <w:kern w:val="0"/>
      <w:szCs w:val="20"/>
    </w:rPr>
  </w:style>
  <w:style w:type="paragraph" w:styleId="5">
    <w:name w:val="Body Text"/>
    <w:basedOn w:val="1"/>
    <w:next w:val="6"/>
    <w:unhideWhenUsed/>
    <w:qFormat/>
    <w:uiPriority w:val="99"/>
    <w:rPr>
      <w:rFonts w:ascii="宋体" w:hAnsi="宋体" w:eastAsia="宋体" w:cs="宋体"/>
      <w:sz w:val="21"/>
      <w:szCs w:val="21"/>
      <w:lang w:val="zh-CN" w:eastAsia="zh-CN" w:bidi="zh-CN"/>
    </w:rPr>
  </w:style>
  <w:style w:type="paragraph" w:styleId="6">
    <w:name w:val="toc 2"/>
    <w:basedOn w:val="1"/>
    <w:next w:val="1"/>
    <w:qFormat/>
    <w:uiPriority w:val="0"/>
    <w:pPr>
      <w:ind w:left="420" w:leftChars="200"/>
    </w:pPr>
  </w:style>
  <w:style w:type="paragraph" w:styleId="7">
    <w:name w:val="footer"/>
    <w:basedOn w:val="1"/>
    <w:unhideWhenUsed/>
    <w:qFormat/>
    <w:uiPriority w:val="99"/>
    <w:pPr>
      <w:tabs>
        <w:tab w:val="center" w:pos="4153"/>
        <w:tab w:val="right" w:pos="8306"/>
      </w:tabs>
      <w:snapToGrid w:val="0"/>
      <w:jc w:val="left"/>
    </w:pPr>
    <w:rPr>
      <w:rFonts w:ascii="Times New Roman" w:hAnsi="Times New Roman"/>
      <w:kern w:val="0"/>
      <w:sz w:val="18"/>
      <w:szCs w:val="18"/>
    </w:rPr>
  </w:style>
  <w:style w:type="paragraph" w:styleId="8">
    <w:name w:val="Normal (Web)"/>
    <w:basedOn w:val="1"/>
    <w:qFormat/>
    <w:uiPriority w:val="0"/>
    <w:pPr>
      <w:spacing w:before="100" w:beforeAutospacing="1" w:after="100" w:afterAutospacing="1"/>
      <w:ind w:left="0" w:right="0"/>
      <w:jc w:val="left"/>
    </w:pPr>
    <w:rPr>
      <w:kern w:val="0"/>
      <w:sz w:val="24"/>
      <w:lang w:val="en-US" w:eastAsia="zh-CN" w:bidi="ar"/>
    </w:rPr>
  </w:style>
  <w:style w:type="character" w:styleId="11">
    <w:name w:val="Hyperlink"/>
    <w:basedOn w:val="10"/>
    <w:qFormat/>
    <w:uiPriority w:val="0"/>
    <w:rPr>
      <w:color w:val="0000FF"/>
      <w:u w:val="single"/>
    </w:rPr>
  </w:style>
  <w:style w:type="paragraph" w:customStyle="1" w:styleId="12">
    <w:name w:val="列出段落1"/>
    <w:basedOn w:val="1"/>
    <w:qFormat/>
    <w:uiPriority w:val="34"/>
    <w:pPr>
      <w:ind w:firstLine="420" w:firstLineChars="200"/>
    </w:p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4</Pages>
  <Words>914</Words>
  <Characters>956</Characters>
  <Lines>0</Lines>
  <Paragraphs>0</Paragraphs>
  <TotalTime>0</TotalTime>
  <ScaleCrop>false</ScaleCrop>
  <LinksUpToDate>false</LinksUpToDate>
  <CharactersWithSpaces>960</CharactersWithSpaces>
  <Application>WPS Office_12.8.2.1115_F1E327BC-269C-435d-A152-05C5408002CA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2014-10-29T20:08:00Z</dcterms:created>
  <dc:creator>THTF</dc:creator>
  <cp:lastModifiedBy>WPS_1681696080</cp:lastModifiedBy>
  <dcterms:modified xsi:type="dcterms:W3CDTF">2024-12-17T11:16:14Z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2052-12.8.2.1115</vt:lpwstr>
  </property>
  <property fmtid="{D5CDD505-2E9C-101B-9397-08002B2CF9AE}" pid="3" name="ICV">
    <vt:lpwstr>8BF6333F297C93FBFEEC6067F051F474_43</vt:lpwstr>
  </property>
</Properties>
</file>